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val="en-US" w:eastAsia="zh-CN"/>
        </w:rPr>
        <w:t>统计局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统计局</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部门职责</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(一)组织领导和协调全县统计工作，确保统计数据真实、准确、完整、及时。</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二)拟订统计工作方面的地方性管理办法和统计改革方案，制定全县统计改革、统计建设规划、统计调查计划和统计调查制度，贯彻执行监督检查统计法律、法规实施情况，指导全县统计工作。组织实施统计执法监督检查和“双随机”抽查，依法查处统计违法案件，预防和查处统计造假、弄虚作假。</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 xml:space="preserve">(三)贯彻执行国家和省、市国民经济核算制度，组织实施全县国民经济核算、资产负债核算和投入产出调查，整理、测算和提供国民经济核算资料，监督管理全县国民经济核算工作。                                           </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(四)组织完成国家和省、市部署的人口、经济、农业等重大普查调查，汇总、整理和提供有关县情县力方面的统计数据。</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五)组织实施全县农林牧渔业、工业、建筑业、批发和零售业、住宿和餐饮业、房地产、服务业及能源、投资、消费、人口和城镇化率、劳动工资、就业、社会、科技、文化产业、县镇村三级社会经济基本情况、资源环境、战略性新兴产业、高新技术产业、民营经济、全面建成小康社会统计监测、社情民意调查等统计调查，收集、汇总、整理和提供统计数据。</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六)组织实施县域经济发展、农业产业化、特色小镇、节能降耗、绿色发展、企业景气、妇女儿童监测、新产业新业态新商业模式（以下简称新经济）、高质量发展、京津部分区（县）等统计监测，收集、整理和提供统计数据。</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(七)综合整理和提供财政、金融、旅游、交通运输、邮政、地质勘查、教育、体育、卫生、社会保障、公用事业、对外经济、收入、价格等基本统计数据。</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(八)组织全县各部门的经济、社会、科技统计调查，统一核定、管理、公布全县性基本统计资料，定期发布全县国民经济和社会发展情况的统计信息。组织建立统计信息共享制度和发布制度。</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(九)对国民经济、社会发展、科技进步和资源环境等情况进行统计分析、统计预测和统计监督，向县委、县政府及有关部门提供统计信息和咨询建议。</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十)依法依规管理县级政府部门统计调查项目。指导专业统计基础工作、统计基层业务和规范化建设。组织建立统计信息管理制度，建立健全统计数据质量审核、监控和评估制度，开展对统计数据质量的检查和评估。</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(十一)加强基层统计人员培训，指导全县统计专业技术队伍建设。指导所属事业单位组织实施名录库建设、资料管理等工作。</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十二)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并开展调查情况分析研究。</w:t>
      </w:r>
    </w:p>
    <w:p>
      <w:pPr>
        <w:pStyle w:val="13"/>
        <w:rPr>
          <w:rFonts w:ascii="楷体" w:hAnsi="楷体" w:eastAsia="楷体" w:cs="Times New Roman"/>
          <w:b/>
          <w:sz w:val="32"/>
          <w:szCs w:val="32"/>
        </w:rPr>
      </w:pPr>
      <w:r>
        <w:rPr>
          <w:rFonts w:ascii="仿宋" w:hAnsi="仿宋" w:eastAsia="仿宋" w:cs="Times New Roman"/>
          <w:kern w:val="2"/>
          <w:sz w:val="32"/>
          <w:szCs w:val="32"/>
          <w:lang w:val="en-US" w:eastAsia="zh-CN" w:bidi="ar-SA"/>
        </w:rPr>
        <w:t>(十三)承办县委、县政府和上级统计部门交办的其他任务。</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9"/>
        <w:tblW w:w="113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53"/>
        <w:gridCol w:w="2264"/>
        <w:gridCol w:w="1741"/>
        <w:gridCol w:w="36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75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 w:val="32"/>
                <w:szCs w:val="32"/>
              </w:rPr>
              <w:t>单位名称</w:t>
            </w:r>
          </w:p>
        </w:tc>
        <w:tc>
          <w:tcPr>
            <w:tcW w:w="226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 w:val="32"/>
                <w:szCs w:val="32"/>
              </w:rPr>
              <w:t>单位性质</w:t>
            </w:r>
          </w:p>
        </w:tc>
        <w:tc>
          <w:tcPr>
            <w:tcW w:w="1741"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 w:val="32"/>
                <w:szCs w:val="32"/>
              </w:rPr>
              <w:t>单位规格</w:t>
            </w:r>
          </w:p>
        </w:tc>
        <w:tc>
          <w:tcPr>
            <w:tcW w:w="363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753" w:type="dxa"/>
            <w:vMerge w:val="continue"/>
            <w:shd w:val="clear" w:color="auto" w:fill="auto"/>
            <w:vAlign w:val="center"/>
          </w:tcPr>
          <w:p/>
        </w:tc>
        <w:tc>
          <w:tcPr>
            <w:tcW w:w="2264" w:type="dxa"/>
            <w:vMerge w:val="continue"/>
            <w:shd w:val="clear" w:color="auto" w:fill="auto"/>
            <w:vAlign w:val="center"/>
          </w:tcPr>
          <w:p/>
        </w:tc>
        <w:tc>
          <w:tcPr>
            <w:tcW w:w="1741" w:type="dxa"/>
            <w:vMerge w:val="continue"/>
            <w:shd w:val="clear" w:color="auto" w:fill="auto"/>
            <w:vAlign w:val="center"/>
          </w:tcPr>
          <w:p/>
        </w:tc>
        <w:tc>
          <w:tcPr>
            <w:tcW w:w="363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5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仿宋_GB2312" w:hAnsi="仿宋_GB2312" w:eastAsia="仿宋_GB2312" w:cs="仿宋_GB2312"/>
                <w:b w:val="0"/>
                <w:bCs w:val="0"/>
                <w:color w:val="auto"/>
                <w:kern w:val="0"/>
                <w:sz w:val="32"/>
                <w:szCs w:val="32"/>
                <w:lang w:eastAsia="zh-CN"/>
              </w:rPr>
              <w:t>大厂回族自治县统计局</w:t>
            </w:r>
          </w:p>
        </w:tc>
        <w:tc>
          <w:tcPr>
            <w:tcW w:w="226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仿宋_GB2312" w:hAnsi="仿宋_GB2312" w:eastAsia="仿宋_GB2312" w:cs="仿宋_GB2312"/>
                <w:b w:val="0"/>
                <w:bCs w:val="0"/>
                <w:color w:val="auto"/>
                <w:kern w:val="0"/>
                <w:sz w:val="32"/>
                <w:szCs w:val="32"/>
                <w:lang w:eastAsia="zh-CN"/>
              </w:rPr>
              <w:t>行政单位</w:t>
            </w:r>
          </w:p>
        </w:tc>
        <w:tc>
          <w:tcPr>
            <w:tcW w:w="1741"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仿宋_GB2312" w:hAnsi="仿宋_GB2312" w:eastAsia="仿宋_GB2312" w:cs="仿宋_GB2312"/>
                <w:b w:val="0"/>
                <w:bCs w:val="0"/>
                <w:color w:val="auto"/>
                <w:sz w:val="32"/>
                <w:szCs w:val="32"/>
                <w:lang w:eastAsia="zh-CN"/>
              </w:rPr>
              <w:t>正科级</w:t>
            </w:r>
          </w:p>
        </w:tc>
        <w:tc>
          <w:tcPr>
            <w:tcW w:w="3632"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hAnsi="仿宋_GB2312" w:eastAsia="仿宋_GB2312" w:cs="仿宋_GB2312"/>
                <w:b w:val="0"/>
                <w:bCs w:val="0"/>
                <w:color w:val="auto"/>
                <w:sz w:val="32"/>
                <w:szCs w:val="32"/>
              </w:rPr>
              <w:t>财政拨款（行政）</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统计局</w:t>
      </w:r>
      <w:r>
        <w:rPr>
          <w:rFonts w:ascii="仿宋" w:hAnsi="仿宋" w:eastAsia="仿宋" w:cs="Times New Roman"/>
          <w:sz w:val="32"/>
          <w:szCs w:val="32"/>
        </w:rPr>
        <w:t>机关</w:t>
      </w:r>
      <w:r>
        <w:rPr>
          <w:rFonts w:ascii="仿宋" w:hAnsi="仿宋" w:eastAsia="仿宋" w:cs="Times New Roman"/>
          <w:color w:val="auto"/>
          <w:sz w:val="32"/>
          <w:szCs w:val="32"/>
        </w:rPr>
        <w:t>及所属事业单位</w:t>
      </w:r>
      <w:r>
        <w:rPr>
          <w:rFonts w:ascii="仿宋" w:hAnsi="仿宋" w:eastAsia="仿宋" w:cs="Times New Roman"/>
          <w:sz w:val="32"/>
          <w:szCs w:val="32"/>
        </w:rPr>
        <w:t>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634.23</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634.23</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统计局</w:t>
      </w:r>
      <w:r>
        <w:rPr>
          <w:rFonts w:hint="eastAsia" w:ascii="仿宋" w:hAnsi="仿宋" w:eastAsia="仿宋" w:cs="Times New Roman"/>
          <w:sz w:val="32"/>
          <w:szCs w:val="32"/>
          <w:lang w:val="en-US" w:eastAsia="zh-CN"/>
        </w:rPr>
        <w:t>2022</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634.23</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568.79</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510.11</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lang w:val="en-US" w:eastAsia="zh-CN"/>
        </w:rPr>
        <w:t>58.68</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lang w:val="en-US" w:eastAsia="zh-CN"/>
        </w:rPr>
        <w:t>65.44</w:t>
      </w:r>
      <w:r>
        <w:rPr>
          <w:rFonts w:ascii="仿宋" w:hAnsi="仿宋" w:eastAsia="仿宋" w:cs="Times New Roman"/>
          <w:sz w:val="32"/>
          <w:szCs w:val="32"/>
        </w:rPr>
        <w:t>万元，</w:t>
      </w:r>
      <w:r>
        <w:rPr>
          <w:rFonts w:hint="eastAsia" w:ascii="仿宋" w:hAnsi="仿宋" w:eastAsia="仿宋" w:cs="Times New Roman"/>
          <w:sz w:val="32"/>
          <w:szCs w:val="32"/>
          <w:lang w:eastAsia="zh-CN"/>
        </w:rPr>
        <w:t>全部为</w:t>
      </w:r>
      <w:r>
        <w:rPr>
          <w:rFonts w:ascii="仿宋" w:hAnsi="仿宋" w:eastAsia="仿宋" w:cs="Times New Roman"/>
          <w:sz w:val="32"/>
          <w:szCs w:val="32"/>
        </w:rPr>
        <w:t>本级支出，主要为</w:t>
      </w:r>
      <w:r>
        <w:rPr>
          <w:rFonts w:hint="eastAsia" w:ascii="仿宋" w:hAnsi="仿宋" w:eastAsia="仿宋" w:cs="Times New Roman"/>
          <w:sz w:val="32"/>
          <w:szCs w:val="32"/>
        </w:rPr>
        <w:t>专项统计调查经费</w:t>
      </w:r>
      <w:r>
        <w:rPr>
          <w:rFonts w:hint="eastAsia" w:ascii="仿宋" w:hAnsi="仿宋" w:eastAsia="仿宋" w:cs="Times New Roman"/>
          <w:sz w:val="32"/>
          <w:szCs w:val="32"/>
          <w:lang w:val="en-US" w:eastAsia="zh-CN"/>
        </w:rPr>
        <w:t>39.5万元</w:t>
      </w:r>
      <w:r>
        <w:rPr>
          <w:rFonts w:hint="eastAsia" w:ascii="仿宋" w:hAnsi="仿宋" w:eastAsia="仿宋" w:cs="Times New Roman"/>
          <w:sz w:val="32"/>
          <w:szCs w:val="32"/>
          <w:lang w:eastAsia="zh-CN"/>
        </w:rPr>
        <w:t>、其他专业技术服务经费</w:t>
      </w:r>
      <w:r>
        <w:rPr>
          <w:rFonts w:hint="eastAsia" w:ascii="仿宋" w:hAnsi="仿宋" w:eastAsia="仿宋" w:cs="Times New Roman"/>
          <w:sz w:val="32"/>
          <w:szCs w:val="32"/>
          <w:lang w:val="en-US" w:eastAsia="zh-CN"/>
        </w:rPr>
        <w:t>22万元</w:t>
      </w:r>
      <w:r>
        <w:rPr>
          <w:rFonts w:hint="eastAsia" w:ascii="仿宋" w:hAnsi="仿宋" w:eastAsia="仿宋" w:cs="Times New Roman"/>
          <w:sz w:val="32"/>
          <w:szCs w:val="32"/>
          <w:lang w:eastAsia="zh-CN"/>
        </w:rPr>
        <w:t>、基本公共服务满意度调查经费</w:t>
      </w:r>
      <w:r>
        <w:rPr>
          <w:rFonts w:hint="eastAsia" w:ascii="仿宋" w:hAnsi="仿宋" w:eastAsia="仿宋" w:cs="Times New Roman"/>
          <w:sz w:val="32"/>
          <w:szCs w:val="32"/>
          <w:lang w:val="en-US" w:eastAsia="zh-CN"/>
        </w:rPr>
        <w:t>3.94万元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634.23</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highlight w:val="none"/>
        </w:rPr>
        <w:t>年预算减少</w:t>
      </w:r>
      <w:r>
        <w:rPr>
          <w:rFonts w:hint="eastAsia" w:ascii="仿宋" w:hAnsi="仿宋" w:eastAsia="仿宋" w:cs="Times New Roman"/>
          <w:sz w:val="32"/>
          <w:szCs w:val="32"/>
          <w:highlight w:val="none"/>
          <w:lang w:val="en-US" w:eastAsia="zh-CN"/>
        </w:rPr>
        <w:t>52.3</w:t>
      </w:r>
      <w:r>
        <w:rPr>
          <w:rFonts w:ascii="仿宋" w:hAnsi="仿宋" w:eastAsia="仿宋" w:cs="Times New Roman"/>
          <w:sz w:val="32"/>
          <w:szCs w:val="32"/>
          <w:highlight w:val="none"/>
        </w:rPr>
        <w:t>万元，其中：基本支出减少</w:t>
      </w:r>
      <w:r>
        <w:rPr>
          <w:rFonts w:hint="eastAsia" w:ascii="仿宋" w:hAnsi="仿宋" w:eastAsia="仿宋" w:cs="Times New Roman"/>
          <w:sz w:val="32"/>
          <w:szCs w:val="32"/>
          <w:highlight w:val="none"/>
          <w:lang w:val="en-US" w:eastAsia="zh-CN"/>
        </w:rPr>
        <w:t>10.37</w:t>
      </w:r>
      <w:r>
        <w:rPr>
          <w:rFonts w:ascii="仿宋" w:hAnsi="仿宋" w:eastAsia="仿宋" w:cs="Times New Roman"/>
          <w:sz w:val="32"/>
          <w:szCs w:val="32"/>
          <w:highlight w:val="none"/>
        </w:rPr>
        <w:t>万元，主要</w:t>
      </w:r>
      <w:r>
        <w:rPr>
          <w:rFonts w:hint="eastAsia" w:ascii="仿宋" w:hAnsi="仿宋" w:eastAsia="仿宋" w:cs="Times New Roman"/>
          <w:sz w:val="32"/>
          <w:szCs w:val="32"/>
          <w:highlight w:val="none"/>
          <w:lang w:eastAsia="zh-CN"/>
        </w:rPr>
        <w:t>为</w:t>
      </w:r>
      <w:r>
        <w:rPr>
          <w:rFonts w:hint="eastAsia" w:ascii="仿宋" w:hAnsi="仿宋" w:eastAsia="仿宋"/>
          <w:sz w:val="32"/>
          <w:szCs w:val="32"/>
          <w:highlight w:val="none"/>
        </w:rPr>
        <w:t>人员经费</w:t>
      </w:r>
      <w:r>
        <w:rPr>
          <w:rFonts w:ascii="仿宋" w:hAnsi="仿宋" w:eastAsia="仿宋" w:cs="Times New Roman"/>
          <w:sz w:val="32"/>
          <w:szCs w:val="32"/>
          <w:highlight w:val="none"/>
        </w:rPr>
        <w:t>支出；项目支出减少</w:t>
      </w:r>
      <w:r>
        <w:rPr>
          <w:rFonts w:hint="eastAsia" w:ascii="仿宋" w:hAnsi="仿宋" w:eastAsia="仿宋" w:cs="Times New Roman"/>
          <w:sz w:val="32"/>
          <w:szCs w:val="32"/>
          <w:highlight w:val="none"/>
          <w:lang w:val="en-US" w:eastAsia="zh-CN"/>
        </w:rPr>
        <w:t>41.93</w:t>
      </w:r>
      <w:r>
        <w:rPr>
          <w:rFonts w:ascii="仿宋" w:hAnsi="仿宋" w:eastAsia="仿宋" w:cs="Times New Roman"/>
          <w:sz w:val="32"/>
          <w:szCs w:val="32"/>
        </w:rPr>
        <w:t>万元，主要为</w:t>
      </w:r>
      <w:r>
        <w:rPr>
          <w:rFonts w:hint="eastAsia" w:ascii="仿宋" w:hAnsi="仿宋" w:eastAsia="仿宋" w:cs="Times New Roman"/>
          <w:sz w:val="32"/>
          <w:szCs w:val="32"/>
          <w:lang w:eastAsia="zh-CN"/>
        </w:rPr>
        <w:t>第七次全国人口普查经费、资产购置经费、残疾人就业保障金</w:t>
      </w:r>
      <w:r>
        <w:rPr>
          <w:rFonts w:ascii="仿宋" w:hAnsi="仿宋" w:eastAsia="仿宋"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年，我局机关运行经费共计安排</w:t>
      </w:r>
      <w:r>
        <w:rPr>
          <w:rFonts w:hint="eastAsia" w:ascii="仿宋" w:hAnsi="仿宋" w:eastAsia="仿宋" w:cs="Times New Roman"/>
          <w:sz w:val="32"/>
          <w:szCs w:val="32"/>
          <w:lang w:val="en-US" w:eastAsia="zh-CN"/>
        </w:rPr>
        <w:t>58.68</w:t>
      </w:r>
      <w:r>
        <w:rPr>
          <w:rFonts w:ascii="仿宋" w:hAnsi="仿宋" w:eastAsia="仿宋" w:cs="Times New Roman"/>
          <w:sz w:val="32"/>
          <w:szCs w:val="32"/>
        </w:rPr>
        <w:t>万元，主要用于</w:t>
      </w:r>
      <w:r>
        <w:rPr>
          <w:rFonts w:hint="eastAsia" w:ascii="仿宋" w:hAnsi="仿宋" w:eastAsia="仿宋" w:cs="Times New Roman"/>
          <w:sz w:val="32"/>
          <w:szCs w:val="32"/>
          <w:lang w:eastAsia="zh-CN"/>
        </w:rPr>
        <w:t>统计局</w:t>
      </w:r>
      <w:r>
        <w:rPr>
          <w:rFonts w:ascii="仿宋" w:hAnsi="仿宋" w:eastAsia="仿宋"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lang w:val="en-US" w:eastAsia="zh-CN"/>
        </w:rPr>
        <w:t>3.23</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万元；公务用车购置及运</w:t>
      </w:r>
      <w:r>
        <w:rPr>
          <w:rFonts w:ascii="仿宋" w:hAnsi="仿宋" w:eastAsia="仿宋" w:cs="Times New Roman"/>
          <w:color w:val="auto"/>
          <w:sz w:val="32"/>
          <w:szCs w:val="32"/>
          <w:highlight w:val="none"/>
        </w:rPr>
        <w:t>维费</w:t>
      </w:r>
      <w:r>
        <w:rPr>
          <w:rFonts w:hint="eastAsia" w:ascii="仿宋" w:hAnsi="仿宋" w:eastAsia="仿宋" w:cs="Times New Roman"/>
          <w:color w:val="auto"/>
          <w:sz w:val="32"/>
          <w:szCs w:val="32"/>
          <w:highlight w:val="none"/>
          <w:lang w:val="en-US" w:eastAsia="zh-CN"/>
        </w:rPr>
        <w:t>2.5</w:t>
      </w:r>
      <w:r>
        <w:rPr>
          <w:rFonts w:ascii="仿宋" w:hAnsi="仿宋" w:eastAsia="仿宋" w:cs="Times New Roman"/>
          <w:color w:val="auto"/>
          <w:sz w:val="32"/>
          <w:szCs w:val="32"/>
          <w:highlight w:val="none"/>
        </w:rPr>
        <w:t>万元（其中：公务用车购置费为</w:t>
      </w:r>
      <w:r>
        <w:rPr>
          <w:rFonts w:hint="eastAsia" w:ascii="仿宋" w:hAnsi="仿宋" w:eastAsia="仿宋" w:cs="Times New Roman"/>
          <w:color w:val="auto"/>
          <w:sz w:val="32"/>
          <w:szCs w:val="32"/>
          <w:highlight w:val="none"/>
          <w:lang w:val="en-US" w:eastAsia="zh-CN"/>
        </w:rPr>
        <w:t>0</w:t>
      </w:r>
      <w:r>
        <w:rPr>
          <w:rFonts w:ascii="仿宋" w:hAnsi="仿宋" w:eastAsia="仿宋" w:cs="Times New Roman"/>
          <w:color w:val="auto"/>
          <w:sz w:val="32"/>
          <w:szCs w:val="32"/>
          <w:highlight w:val="none"/>
        </w:rPr>
        <w:t>万元，公务用车运维费</w:t>
      </w:r>
      <w:r>
        <w:rPr>
          <w:rFonts w:hint="eastAsia" w:ascii="仿宋" w:hAnsi="仿宋" w:eastAsia="仿宋" w:cs="Times New Roman"/>
          <w:color w:val="auto"/>
          <w:sz w:val="32"/>
          <w:szCs w:val="32"/>
          <w:highlight w:val="none"/>
          <w:lang w:val="en-US" w:eastAsia="zh-CN"/>
        </w:rPr>
        <w:t>2.5</w:t>
      </w:r>
      <w:r>
        <w:rPr>
          <w:rFonts w:ascii="仿宋" w:hAnsi="仿宋" w:eastAsia="仿宋" w:cs="Times New Roman"/>
          <w:color w:val="auto"/>
          <w:sz w:val="32"/>
          <w:szCs w:val="32"/>
          <w:highlight w:val="none"/>
        </w:rPr>
        <w:t>万元)；公务接待费</w:t>
      </w:r>
      <w:r>
        <w:rPr>
          <w:rFonts w:hint="eastAsia" w:ascii="仿宋" w:hAnsi="仿宋" w:eastAsia="仿宋" w:cs="Times New Roman"/>
          <w:color w:val="auto"/>
          <w:sz w:val="32"/>
          <w:szCs w:val="32"/>
          <w:highlight w:val="none"/>
          <w:lang w:val="en-US" w:eastAsia="zh-CN"/>
        </w:rPr>
        <w:t>0.73</w:t>
      </w:r>
      <w:r>
        <w:rPr>
          <w:rFonts w:ascii="仿宋" w:hAnsi="仿宋" w:eastAsia="仿宋" w:cs="Times New Roman"/>
          <w:color w:val="auto"/>
          <w:sz w:val="32"/>
          <w:szCs w:val="32"/>
          <w:highlight w:val="none"/>
        </w:rPr>
        <w:t>万元。与20</w:t>
      </w:r>
      <w:r>
        <w:rPr>
          <w:rFonts w:hint="eastAsia" w:ascii="仿宋" w:hAnsi="仿宋" w:eastAsia="仿宋" w:cs="Times New Roman"/>
          <w:color w:val="auto"/>
          <w:sz w:val="32"/>
          <w:szCs w:val="32"/>
          <w:highlight w:val="none"/>
        </w:rPr>
        <w:t>2</w:t>
      </w:r>
      <w:r>
        <w:rPr>
          <w:rFonts w:hint="eastAsia" w:ascii="仿宋" w:hAnsi="仿宋" w:eastAsia="仿宋" w:cs="Times New Roman"/>
          <w:color w:val="auto"/>
          <w:sz w:val="32"/>
          <w:szCs w:val="32"/>
          <w:highlight w:val="none"/>
          <w:lang w:val="en-US" w:eastAsia="zh-CN"/>
        </w:rPr>
        <w:t>1</w:t>
      </w:r>
      <w:r>
        <w:rPr>
          <w:rFonts w:ascii="仿宋" w:hAnsi="仿宋" w:eastAsia="仿宋" w:cs="Times New Roman"/>
          <w:color w:val="auto"/>
          <w:sz w:val="32"/>
          <w:szCs w:val="32"/>
          <w:highlight w:val="none"/>
        </w:rPr>
        <w:t>年</w:t>
      </w:r>
      <w:r>
        <w:rPr>
          <w:rFonts w:hint="eastAsia" w:ascii="仿宋" w:hAnsi="仿宋" w:eastAsia="仿宋" w:cs="Times New Roman"/>
          <w:color w:val="auto"/>
          <w:sz w:val="32"/>
          <w:szCs w:val="32"/>
          <w:highlight w:val="none"/>
        </w:rPr>
        <w:t>相比</w:t>
      </w:r>
      <w:r>
        <w:rPr>
          <w:rFonts w:ascii="仿宋" w:hAnsi="仿宋" w:eastAsia="仿宋" w:cs="Times New Roman"/>
          <w:color w:val="auto"/>
          <w:sz w:val="32"/>
          <w:szCs w:val="32"/>
          <w:highlight w:val="none"/>
        </w:rPr>
        <w:t>增</w:t>
      </w:r>
      <w:r>
        <w:rPr>
          <w:rFonts w:hint="eastAsia" w:ascii="仿宋" w:hAnsi="仿宋" w:eastAsia="仿宋" w:cs="Times New Roman"/>
          <w:color w:val="auto"/>
          <w:sz w:val="32"/>
          <w:szCs w:val="32"/>
          <w:highlight w:val="none"/>
        </w:rPr>
        <w:t>加</w:t>
      </w:r>
      <w:r>
        <w:rPr>
          <w:rFonts w:hint="eastAsia" w:ascii="仿宋" w:hAnsi="仿宋" w:eastAsia="仿宋" w:cs="Times New Roman"/>
          <w:color w:val="auto"/>
          <w:sz w:val="32"/>
          <w:szCs w:val="32"/>
          <w:highlight w:val="none"/>
          <w:lang w:val="en-US" w:eastAsia="zh-CN"/>
        </w:rPr>
        <w:t>0.13</w:t>
      </w:r>
      <w:r>
        <w:rPr>
          <w:rFonts w:ascii="仿宋" w:hAnsi="仿宋" w:eastAsia="仿宋" w:cs="Times New Roman"/>
          <w:color w:val="auto"/>
          <w:sz w:val="32"/>
          <w:szCs w:val="32"/>
          <w:highlight w:val="none"/>
        </w:rPr>
        <w:t>万元，</w:t>
      </w:r>
      <w:r>
        <w:rPr>
          <w:rFonts w:hint="eastAsia" w:ascii="仿宋" w:hAnsi="仿宋" w:eastAsia="仿宋" w:cs="Times New Roman"/>
          <w:color w:val="auto"/>
          <w:sz w:val="32"/>
          <w:szCs w:val="32"/>
          <w:highlight w:val="none"/>
        </w:rPr>
        <w:t>其中，</w:t>
      </w:r>
      <w:r>
        <w:rPr>
          <w:rFonts w:ascii="仿宋" w:hAnsi="仿宋" w:eastAsia="仿宋" w:cs="Times New Roman"/>
          <w:color w:val="auto"/>
          <w:sz w:val="32"/>
          <w:szCs w:val="32"/>
          <w:highlight w:val="none"/>
        </w:rPr>
        <w:t>公务用车购置及运维费增</w:t>
      </w:r>
      <w:r>
        <w:rPr>
          <w:rFonts w:hint="eastAsia" w:ascii="仿宋" w:hAnsi="仿宋" w:eastAsia="仿宋" w:cs="Times New Roman"/>
          <w:color w:val="auto"/>
          <w:sz w:val="32"/>
          <w:szCs w:val="32"/>
          <w:highlight w:val="none"/>
        </w:rPr>
        <w:t>加</w:t>
      </w:r>
      <w:r>
        <w:rPr>
          <w:rFonts w:hint="eastAsia" w:ascii="仿宋" w:hAnsi="仿宋" w:eastAsia="仿宋" w:cs="Times New Roman"/>
          <w:color w:val="auto"/>
          <w:sz w:val="32"/>
          <w:szCs w:val="32"/>
          <w:highlight w:val="none"/>
          <w:lang w:val="en-US" w:eastAsia="zh-CN"/>
        </w:rPr>
        <w:t>0</w:t>
      </w:r>
      <w:r>
        <w:rPr>
          <w:rFonts w:ascii="仿宋" w:hAnsi="仿宋" w:eastAsia="仿宋" w:cs="Times New Roman"/>
          <w:color w:val="auto"/>
          <w:sz w:val="32"/>
          <w:szCs w:val="32"/>
          <w:highlight w:val="none"/>
        </w:rPr>
        <w:t>万元（其中：公务用车购置费增</w:t>
      </w:r>
      <w:r>
        <w:rPr>
          <w:rFonts w:hint="eastAsia" w:ascii="仿宋" w:hAnsi="仿宋" w:eastAsia="仿宋" w:cs="Times New Roman"/>
          <w:color w:val="auto"/>
          <w:sz w:val="32"/>
          <w:szCs w:val="32"/>
          <w:highlight w:val="none"/>
        </w:rPr>
        <w:t>加</w:t>
      </w:r>
      <w:r>
        <w:rPr>
          <w:rFonts w:hint="eastAsia" w:ascii="仿宋" w:hAnsi="仿宋" w:eastAsia="仿宋" w:cs="Times New Roman"/>
          <w:color w:val="auto"/>
          <w:sz w:val="32"/>
          <w:szCs w:val="32"/>
          <w:highlight w:val="none"/>
          <w:lang w:val="en-US" w:eastAsia="zh-CN"/>
        </w:rPr>
        <w:t>0</w:t>
      </w:r>
      <w:r>
        <w:rPr>
          <w:rFonts w:ascii="仿宋" w:hAnsi="仿宋" w:eastAsia="仿宋" w:cs="Times New Roman"/>
          <w:color w:val="auto"/>
          <w:sz w:val="32"/>
          <w:szCs w:val="32"/>
          <w:highlight w:val="none"/>
        </w:rPr>
        <w:t>万元，公务用车运维费增</w:t>
      </w:r>
      <w:r>
        <w:rPr>
          <w:rFonts w:hint="eastAsia" w:ascii="仿宋" w:hAnsi="仿宋" w:eastAsia="仿宋" w:cs="Times New Roman"/>
          <w:color w:val="auto"/>
          <w:sz w:val="32"/>
          <w:szCs w:val="32"/>
          <w:highlight w:val="none"/>
        </w:rPr>
        <w:t>加</w:t>
      </w:r>
      <w:r>
        <w:rPr>
          <w:rFonts w:hint="eastAsia" w:ascii="仿宋" w:hAnsi="仿宋" w:eastAsia="仿宋" w:cs="Times New Roman"/>
          <w:color w:val="auto"/>
          <w:sz w:val="32"/>
          <w:szCs w:val="32"/>
          <w:highlight w:val="none"/>
          <w:lang w:val="en-US" w:eastAsia="zh-CN"/>
        </w:rPr>
        <w:t>0</w:t>
      </w:r>
      <w:r>
        <w:rPr>
          <w:rFonts w:ascii="仿宋" w:hAnsi="仿宋" w:eastAsia="仿宋" w:cs="Times New Roman"/>
          <w:color w:val="auto"/>
          <w:sz w:val="32"/>
          <w:szCs w:val="32"/>
          <w:highlight w:val="none"/>
        </w:rPr>
        <w:t>万元)；公务接待费增</w:t>
      </w:r>
      <w:r>
        <w:rPr>
          <w:rFonts w:hint="eastAsia" w:ascii="仿宋" w:hAnsi="仿宋" w:eastAsia="仿宋" w:cs="Times New Roman"/>
          <w:color w:val="auto"/>
          <w:sz w:val="32"/>
          <w:szCs w:val="32"/>
          <w:highlight w:val="none"/>
        </w:rPr>
        <w:t>加</w:t>
      </w:r>
      <w:r>
        <w:rPr>
          <w:rFonts w:hint="eastAsia" w:ascii="仿宋" w:hAnsi="仿宋" w:eastAsia="仿宋" w:cs="Times New Roman"/>
          <w:color w:val="auto"/>
          <w:sz w:val="32"/>
          <w:szCs w:val="32"/>
          <w:highlight w:val="none"/>
          <w:lang w:val="en-US" w:eastAsia="zh-CN"/>
        </w:rPr>
        <w:t>0.13</w:t>
      </w:r>
      <w:r>
        <w:rPr>
          <w:rFonts w:hint="eastAsia" w:ascii="仿宋" w:hAnsi="仿宋" w:eastAsia="仿宋" w:cs="Times New Roman"/>
          <w:color w:val="auto"/>
          <w:sz w:val="32"/>
          <w:szCs w:val="32"/>
          <w:highlight w:val="none"/>
        </w:rPr>
        <w:t>万元，</w:t>
      </w:r>
      <w:r>
        <w:rPr>
          <w:rFonts w:ascii="仿宋" w:hAnsi="仿宋" w:eastAsia="仿宋" w:cs="Times New Roman"/>
          <w:color w:val="auto"/>
          <w:sz w:val="32"/>
          <w:szCs w:val="32"/>
          <w:highlight w:val="none"/>
        </w:rPr>
        <w:t>主要原因是</w:t>
      </w:r>
      <w:r>
        <w:rPr>
          <w:rFonts w:hint="eastAsia" w:ascii="仿宋" w:hAnsi="仿宋" w:eastAsia="仿宋" w:cs="Times New Roman"/>
          <w:color w:val="auto"/>
          <w:sz w:val="32"/>
          <w:szCs w:val="32"/>
          <w:highlight w:val="none"/>
          <w:lang w:val="en-US" w:eastAsia="zh-CN"/>
        </w:rPr>
        <w:t>2022年接待</w:t>
      </w:r>
      <w:r>
        <w:rPr>
          <w:rFonts w:hint="eastAsia" w:ascii="仿宋" w:hAnsi="仿宋" w:eastAsia="仿宋" w:cs="Times New Roman"/>
          <w:color w:val="auto"/>
          <w:sz w:val="32"/>
          <w:szCs w:val="32"/>
          <w:highlight w:val="none"/>
          <w:lang w:eastAsia="zh-CN"/>
        </w:rPr>
        <w:t>上级统计检查、核查增多</w:t>
      </w:r>
      <w:r>
        <w:rPr>
          <w:rFonts w:hint="eastAsia" w:ascii="仿宋" w:hAnsi="仿宋" w:eastAsia="仿宋"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pStyle w:val="14"/>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2022年统计局总体发展规划目标是加强顶层设计和系统谋划，合理配置和统筹使用统计资源，建立质量可靠、数据协调、组织合理、运行高效的统计制度方法体系、统计指标体系和统计管理体系。以建设现代化服务型统计为目标，着力深化改革创新，着力加强统计求实，着力提升服务水平，全力加快统计六大体系建设，为提高发展的质量和效益、实现大厂绿色崛起提供优质统计服务。</w:t>
      </w:r>
    </w:p>
    <w:p>
      <w:pPr>
        <w:pStyle w:val="14"/>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重点完成服务业、工业、投资专业统计工作，投入产出调查，城乡住户抽样调查，能源统计，全面建8设小康社会监测等国民经济核算、统计调查和统计政务管理工作。</w:t>
      </w:r>
    </w:p>
    <w:p>
      <w:pPr>
        <w:pStyle w:val="14"/>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通过投入产出调查，全面地反映我国、我省、我市及我县调结构、促转型等方面的国民经济运行情况，促进和提高统计数据质量，更好的改进国民经济核算，为各级政府实施宏观调控提供基础信息依据。</w:t>
      </w:r>
    </w:p>
    <w:p>
      <w:pPr>
        <w:pStyle w:val="14"/>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通过城乡住户抽样调查，掌握和了解农村居民收入、消费、生产、积累和社会活动情况，研究农村居民收入和生活质量的变化，监测农村摆脱贫困和全面建设小康实现进程。</w:t>
      </w:r>
    </w:p>
    <w:p>
      <w:pPr>
        <w:pStyle w:val="14"/>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通过能源统计调查，建立能够反映各地区能耗水平、节能目标责任和评价考核制度的节能统计体系，为我县能源发展和节能减排工作提供政策依据。</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pStyle w:val="15"/>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2022年，我局主要职责是完成国民经济核算、统计调查和统计政务管理工作，重点完成城乡住户抽样调查、能源统计，服务业调查，投入产出调查，能源统计，全面建设小康社会监测等国民经济核算、统计调查和统计政务管理工作，为政府提供相关统计数据和统计分析，为县委、县政府社会经济决策提供相关资料。</w:t>
      </w:r>
    </w:p>
    <w:p>
      <w:pPr>
        <w:pStyle w:val="15"/>
        <w:rPr>
          <w:rFonts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1、</w:t>
      </w:r>
      <w:r>
        <w:rPr>
          <w:rFonts w:ascii="仿宋" w:hAnsi="仿宋" w:eastAsia="仿宋" w:cs="Times New Roman"/>
          <w:color w:val="auto"/>
          <w:kern w:val="2"/>
          <w:sz w:val="32"/>
          <w:szCs w:val="32"/>
          <w:highlight w:val="none"/>
          <w:lang w:val="en-US" w:eastAsia="zh-CN" w:bidi="ar-SA"/>
        </w:rPr>
        <w:t>在全县开展GDP核算、资产负债核算工作</w:t>
      </w:r>
    </w:p>
    <w:p>
      <w:pPr>
        <w:pStyle w:val="15"/>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绩效目标：完成全县年度数据的测算审核认定工作；完成全县季度数据的测算审核认定工作；完成必要分析，对相关经济决策提供重要依据。</w:t>
      </w:r>
    </w:p>
    <w:p>
      <w:pPr>
        <w:pStyle w:val="15"/>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绩效指标：调查样本数量达到1000个，调查频数达到2次，保障调查数据有效率达到或超过98%。</w:t>
      </w:r>
    </w:p>
    <w:p>
      <w:pPr>
        <w:pStyle w:val="15"/>
        <w:rPr>
          <w:rFonts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2、</w:t>
      </w:r>
      <w:r>
        <w:rPr>
          <w:rFonts w:ascii="仿宋" w:hAnsi="仿宋" w:eastAsia="仿宋" w:cs="Times New Roman"/>
          <w:color w:val="auto"/>
          <w:kern w:val="2"/>
          <w:sz w:val="32"/>
          <w:szCs w:val="32"/>
          <w:highlight w:val="none"/>
          <w:lang w:val="en-US" w:eastAsia="zh-CN" w:bidi="ar-SA"/>
        </w:rPr>
        <w:t>组织工业、农业、社会等相关行业的专项统计调查监测</w:t>
      </w:r>
    </w:p>
    <w:p>
      <w:pPr>
        <w:pStyle w:val="15"/>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绩效目标：根据部门职责及《中华人民共和国统计法》和国家、省市统计局和县政府有关文件要求，组织实施涉及相关行业数据的专项统计调查，了解基层情况和动态提供统计信息和咨询建议。</w:t>
      </w:r>
    </w:p>
    <w:p>
      <w:pPr>
        <w:pStyle w:val="15"/>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绩效指标：城乡住户调查项目辅助调查员人数达到10人，劳动力调查项目辅助调查员人数达到1人。</w:t>
      </w:r>
    </w:p>
    <w:p>
      <w:pPr>
        <w:pStyle w:val="15"/>
        <w:rPr>
          <w:rFonts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3、</w:t>
      </w:r>
      <w:r>
        <w:rPr>
          <w:rFonts w:ascii="仿宋" w:hAnsi="仿宋" w:eastAsia="仿宋" w:cs="Times New Roman"/>
          <w:color w:val="auto"/>
          <w:kern w:val="2"/>
          <w:sz w:val="32"/>
          <w:szCs w:val="32"/>
          <w:highlight w:val="none"/>
          <w:lang w:val="en-US" w:eastAsia="zh-CN" w:bidi="ar-SA"/>
        </w:rPr>
        <w:t>保障机关日常运转，健全全县统计法制建设，指导全县统计专业技术队伍建设</w:t>
      </w:r>
    </w:p>
    <w:p>
      <w:pPr>
        <w:pStyle w:val="15"/>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绩效目标：保障统计信息化建设、统计执法等全县统计专业技术队伍建设。</w:t>
      </w:r>
    </w:p>
    <w:p>
      <w:pPr>
        <w:pStyle w:val="15"/>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绩效指标：政府采购服务人数达到4人，保证其出勤率达到100%。</w:t>
      </w:r>
    </w:p>
    <w:p>
      <w:pPr>
        <w:pStyle w:val="15"/>
        <w:rPr>
          <w:rFonts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4、</w:t>
      </w:r>
      <w:r>
        <w:rPr>
          <w:rFonts w:ascii="仿宋" w:hAnsi="仿宋" w:eastAsia="仿宋" w:cs="Times New Roman"/>
          <w:color w:val="auto"/>
          <w:kern w:val="2"/>
          <w:sz w:val="32"/>
          <w:szCs w:val="32"/>
          <w:highlight w:val="none"/>
          <w:lang w:val="en-US" w:eastAsia="zh-CN" w:bidi="ar-SA"/>
        </w:rPr>
        <w:t>综合业务管理</w:t>
      </w:r>
    </w:p>
    <w:p>
      <w:pPr>
        <w:pStyle w:val="15"/>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绩效目标：开展统计执法检查和培训工作，防范统计违法现象的发生；拟定全县统计教育培训制度、规划等，统一归口管理指导全县统计教育培训工作。</w:t>
      </w:r>
    </w:p>
    <w:p>
      <w:pPr>
        <w:pStyle w:val="15"/>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绩效指标：至少完成130人次统计工作培训，开展统计工作接待人次达到40人次。</w:t>
      </w:r>
    </w:p>
    <w:p>
      <w:pPr>
        <w:pStyle w:val="15"/>
        <w:rPr>
          <w:rFonts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5、</w:t>
      </w:r>
      <w:r>
        <w:rPr>
          <w:rFonts w:ascii="仿宋" w:hAnsi="仿宋" w:eastAsia="仿宋" w:cs="Times New Roman"/>
          <w:color w:val="auto"/>
          <w:kern w:val="2"/>
          <w:sz w:val="32"/>
          <w:szCs w:val="32"/>
          <w:highlight w:val="none"/>
          <w:lang w:val="en-US" w:eastAsia="zh-CN" w:bidi="ar-SA"/>
        </w:rPr>
        <w:t>综合事务管理</w:t>
      </w:r>
    </w:p>
    <w:p>
      <w:pPr>
        <w:pStyle w:val="15"/>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绩效目标：开展统计干部培训和统计部门职工再教育工作。</w:t>
      </w:r>
    </w:p>
    <w:p>
      <w:pPr>
        <w:pStyle w:val="15"/>
      </w:pPr>
      <w:r>
        <w:rPr>
          <w:rFonts w:ascii="仿宋" w:hAnsi="仿宋" w:eastAsia="仿宋" w:cs="Times New Roman"/>
          <w:color w:val="auto"/>
          <w:kern w:val="2"/>
          <w:sz w:val="32"/>
          <w:szCs w:val="32"/>
          <w:highlight w:val="none"/>
          <w:lang w:val="en-US" w:eastAsia="zh-CN" w:bidi="ar-SA"/>
        </w:rPr>
        <w:t>绩效指标：开展统计工作培训人次达到或超过130人次，保障考核合格通过率达到100%。</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pStyle w:val="15"/>
        <w:rPr>
          <w:rFonts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1、</w:t>
      </w:r>
      <w:r>
        <w:rPr>
          <w:rFonts w:ascii="仿宋" w:hAnsi="仿宋" w:eastAsia="仿宋" w:cs="Times New Roman"/>
          <w:color w:val="auto"/>
          <w:kern w:val="2"/>
          <w:sz w:val="32"/>
          <w:szCs w:val="32"/>
          <w:highlight w:val="none"/>
          <w:lang w:val="en-US" w:eastAsia="zh-CN" w:bidi="ar-SA"/>
        </w:rPr>
        <w:t>统计业务保障措施</w:t>
      </w:r>
    </w:p>
    <w:p>
      <w:pPr>
        <w:pStyle w:val="15"/>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指导专业统计基础工作、统计基层业务和规范化建设；组织建立统计信息管理制度，建立健全统计数据质量审核、监控和评估制度，开展对重要统计数据的审核、监控和评估；将全县地域划分为城镇和乡村，并赋予城乡属性代码。健全统计网络，加强统计队伍建设；加强业务建设，保证源头数据数出有据、真实可靠，统计数据质量不断提高；推进信息化建设，建成县级网络管理和信息安全防护系统。</w:t>
      </w:r>
    </w:p>
    <w:p>
      <w:pPr>
        <w:pStyle w:val="15"/>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强化“视统计数据质量为生命”的理念，以统计数据求真求实专项行动为抓手，切实加强数据生产管理。建立由源头保障机制、流程控制机制、质量评估机制三位一体的数据质量管理体系，对制度设计、数据采集、审核验收、数据评估、数据发布等各环节进行全程管理。</w:t>
      </w:r>
    </w:p>
    <w:p>
      <w:pPr>
        <w:pStyle w:val="15"/>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及时开展各项目统计监测任务。按时完成统计监测报告。完善数据质量控制办法，强化数据审核评估，统计监测结果真实可信。</w:t>
      </w:r>
    </w:p>
    <w:p>
      <w:pPr>
        <w:pStyle w:val="15"/>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每月度对全县经济运行情况进行分析，撰写主要数据简要分析、《统计月报》并及时上报县领导。组织统计分析工作，对统计分析、统计月报进行编核、审批、备案，对局机关统计分析工作进行评比。</w:t>
      </w:r>
    </w:p>
    <w:p>
      <w:pPr>
        <w:pStyle w:val="15"/>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加大执法检查力度。建立统计业务与执法检查协调联动机制，加大执法检查频次，组织开展文化产业、服务业等专项执法检查确保数据质量。</w:t>
      </w:r>
    </w:p>
    <w:p>
      <w:pPr>
        <w:pStyle w:val="15"/>
        <w:rPr>
          <w:rFonts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2、</w:t>
      </w:r>
      <w:r>
        <w:rPr>
          <w:rFonts w:ascii="仿宋" w:hAnsi="仿宋" w:eastAsia="仿宋" w:cs="Times New Roman"/>
          <w:color w:val="auto"/>
          <w:kern w:val="2"/>
          <w:sz w:val="32"/>
          <w:szCs w:val="32"/>
          <w:highlight w:val="none"/>
          <w:lang w:val="en-US" w:eastAsia="zh-CN" w:bidi="ar-SA"/>
        </w:rPr>
        <w:t>财务管理保障措施</w:t>
      </w:r>
    </w:p>
    <w:p>
      <w:pPr>
        <w:pStyle w:val="15"/>
        <w:rPr>
          <w:rFonts w:ascii="仿宋" w:hAnsi="仿宋" w:eastAsia="仿宋" w:cs="Times New Roman"/>
          <w:color w:val="auto"/>
          <w:kern w:val="2"/>
          <w:sz w:val="32"/>
          <w:szCs w:val="32"/>
          <w:highlight w:val="none"/>
          <w:lang w:val="en-US" w:eastAsia="zh-CN" w:bidi="ar-SA"/>
        </w:rPr>
      </w:pPr>
      <w:r>
        <w:rPr>
          <w:rFonts w:ascii="仿宋" w:hAnsi="仿宋" w:eastAsia="仿宋" w:cs="Times New Roman"/>
          <w:color w:val="auto"/>
          <w:kern w:val="2"/>
          <w:sz w:val="32"/>
          <w:szCs w:val="32"/>
          <w:highlight w:val="none"/>
          <w:lang w:val="en-US" w:eastAsia="zh-CN" w:bidi="ar-SA"/>
        </w:rPr>
        <w:t>2022年，我局将更加重视和支持财务工作，认真贯彻国家和县有关财经方针、政策，根据国家、省市和县财政的要求，在严格执行上级政策的基础上，以创新的精神健全和完善各项制度和办法，全面推进财务管理工作的开展，进一步加强内控管理，规范财会基础工作，提高财会工作质量，积极适应新形势，以科学发展观为指导全面分析新问题，以改革的思路寻求解决问题的新途径新举措，在预算管理上，按照县财政要求，进一步科学编制、细化预算，均衡支出，严格执行上级和县财政法律、法规和财务规章制度；厉行节约，量入为出，严格审批，保证重点，制止奢侈浪费，注重资金使用效益，为统计事业的健康发展做出新的贡献。</w:t>
      </w:r>
    </w:p>
    <w:p>
      <w:pPr>
        <w:pStyle w:val="15"/>
        <w:numPr>
          <w:ilvl w:val="0"/>
          <w:numId w:val="1"/>
        </w:numPr>
        <w:rPr>
          <w:rFonts w:hint="eastAsia" w:ascii="楷体" w:hAnsi="楷体" w:eastAsia="楷体" w:cs="Times New Roman"/>
          <w:b/>
          <w:sz w:val="32"/>
          <w:szCs w:val="32"/>
        </w:rPr>
      </w:pPr>
      <w:r>
        <w:rPr>
          <w:rFonts w:hint="eastAsia" w:ascii="楷体" w:hAnsi="楷体" w:eastAsia="楷体" w:cs="Times New Roman"/>
          <w:b/>
          <w:sz w:val="32"/>
          <w:szCs w:val="32"/>
        </w:rPr>
        <w:t>部门整体支出绩效指标</w:t>
      </w:r>
    </w:p>
    <w:p>
      <w:pPr>
        <w:pStyle w:val="15"/>
        <w:widowControl w:val="0"/>
        <w:numPr>
          <w:ilvl w:val="0"/>
          <w:numId w:val="0"/>
        </w:numPr>
        <w:spacing w:before="0" w:after="0" w:line="500" w:lineRule="exact"/>
        <w:jc w:val="left"/>
        <w:outlineLvl w:val="9"/>
        <w:rPr>
          <w:rFonts w:hint="eastAsia" w:ascii="楷体" w:hAnsi="楷体" w:eastAsia="楷体" w:cs="Times New Roman"/>
          <w:b/>
          <w:sz w:val="32"/>
          <w:szCs w:val="32"/>
        </w:rPr>
      </w:pPr>
    </w:p>
    <w:tbl>
      <w:tblPr>
        <w:tblStyle w:val="9"/>
        <w:tblW w:w="14742" w:type="dxa"/>
        <w:tblInd w:w="0" w:type="dxa"/>
        <w:tblLayout w:type="fixed"/>
        <w:tblCellMar>
          <w:top w:w="15" w:type="dxa"/>
          <w:left w:w="15" w:type="dxa"/>
          <w:bottom w:w="15" w:type="dxa"/>
          <w:right w:w="15" w:type="dxa"/>
        </w:tblCellMar>
      </w:tblPr>
      <w:tblGrid>
        <w:gridCol w:w="882"/>
        <w:gridCol w:w="886"/>
        <w:gridCol w:w="1330"/>
        <w:gridCol w:w="2599"/>
        <w:gridCol w:w="3465"/>
        <w:gridCol w:w="720"/>
        <w:gridCol w:w="750"/>
        <w:gridCol w:w="870"/>
        <w:gridCol w:w="3240"/>
      </w:tblGrid>
      <w:tr>
        <w:tblPrEx>
          <w:tblCellMar>
            <w:top w:w="15" w:type="dxa"/>
            <w:left w:w="15" w:type="dxa"/>
            <w:bottom w:w="15" w:type="dxa"/>
            <w:right w:w="15" w:type="dxa"/>
          </w:tblCellMar>
        </w:tblPrEx>
        <w:trPr>
          <w:trHeight w:val="270" w:hRule="atLeast"/>
        </w:trPr>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一级</w:t>
            </w:r>
          </w:p>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指标</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二级</w:t>
            </w:r>
          </w:p>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指标</w:t>
            </w:r>
          </w:p>
        </w:tc>
        <w:tc>
          <w:tcPr>
            <w:tcW w:w="13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三级</w:t>
            </w:r>
          </w:p>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指标</w:t>
            </w:r>
          </w:p>
        </w:tc>
        <w:tc>
          <w:tcPr>
            <w:tcW w:w="2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绩效指标</w:t>
            </w:r>
          </w:p>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描述</w:t>
            </w:r>
          </w:p>
        </w:tc>
        <w:tc>
          <w:tcPr>
            <w:tcW w:w="3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评（扣）分标准</w:t>
            </w:r>
          </w:p>
        </w:tc>
        <w:tc>
          <w:tcPr>
            <w:tcW w:w="23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指标值</w:t>
            </w:r>
          </w:p>
        </w:tc>
        <w:tc>
          <w:tcPr>
            <w:tcW w:w="3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指标值确定</w:t>
            </w:r>
          </w:p>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依据</w:t>
            </w:r>
          </w:p>
        </w:tc>
      </w:tr>
      <w:tr>
        <w:tblPrEx>
          <w:tblCellMar>
            <w:top w:w="15" w:type="dxa"/>
            <w:left w:w="15" w:type="dxa"/>
            <w:bottom w:w="15" w:type="dxa"/>
            <w:right w:w="15" w:type="dxa"/>
          </w:tblCellMar>
        </w:tblPrEx>
        <w:trPr>
          <w:trHeight w:val="435"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3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符号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单位</w:t>
            </w:r>
          </w:p>
        </w:tc>
        <w:tc>
          <w:tcPr>
            <w:tcW w:w="3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240" w:hRule="atLeast"/>
        </w:trPr>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产出</w:t>
            </w:r>
          </w:p>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指标</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数量</w:t>
            </w:r>
          </w:p>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指标</w:t>
            </w: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辅助调查员数</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反映城乡住户调查项目辅助调查员数量的情况</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每少</w:t>
            </w:r>
            <w:r>
              <w:rPr>
                <w:rStyle w:val="17"/>
                <w:rFonts w:hint="eastAsia" w:ascii="宋体" w:hAnsi="宋体" w:eastAsia="宋体" w:cs="宋体"/>
              </w:rPr>
              <w:t>1</w:t>
            </w:r>
            <w:r>
              <w:rPr>
                <w:rStyle w:val="18"/>
                <w:rFonts w:hint="eastAsia" w:ascii="宋体" w:hAnsi="宋体" w:eastAsia="宋体" w:cs="宋体"/>
              </w:rPr>
              <w:t>个调查员，减数量分值</w:t>
            </w:r>
            <w:r>
              <w:rPr>
                <w:rStyle w:val="17"/>
                <w:rFonts w:hint="eastAsia" w:ascii="宋体" w:hAnsi="宋体" w:eastAsia="宋体" w:cs="宋体"/>
              </w:rPr>
              <w:t>10%</w:t>
            </w:r>
            <w:r>
              <w:rPr>
                <w:rStyle w:val="18"/>
                <w:rFonts w:hint="eastAsia" w:ascii="宋体" w:hAnsi="宋体" w:eastAsia="宋体" w:cs="宋体"/>
              </w:rPr>
              <w:t>，人数少于</w:t>
            </w:r>
            <w:r>
              <w:rPr>
                <w:rStyle w:val="17"/>
                <w:rFonts w:hint="eastAsia" w:ascii="宋体" w:hAnsi="宋体" w:eastAsia="宋体" w:cs="宋体"/>
              </w:rPr>
              <w:t>6</w:t>
            </w:r>
            <w:r>
              <w:rPr>
                <w:rStyle w:val="18"/>
                <w:rFonts w:hint="eastAsia" w:ascii="宋体" w:hAnsi="宋体" w:eastAsia="宋体" w:cs="宋体"/>
              </w:rPr>
              <w:t>人得</w:t>
            </w:r>
            <w:r>
              <w:rPr>
                <w:rStyle w:val="17"/>
                <w:rFonts w:hint="eastAsia" w:ascii="宋体" w:hAnsi="宋体" w:eastAsia="宋体" w:cs="宋体"/>
              </w:rPr>
              <w:t>0</w:t>
            </w:r>
            <w:r>
              <w:rPr>
                <w:rStyle w:val="18"/>
                <w:rFonts w:hint="eastAsia" w:ascii="宋体" w:hAnsi="宋体" w:eastAsia="宋体" w:cs="宋体"/>
              </w:rPr>
              <w:t>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人</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《2017年住户样本轮换工作总体部署》</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辅助调查员数</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反映劳动力调查项目辅助调查员数量的基本情况</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每少1个调查员，减数量分值10%，人数少于6人得0分。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人</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调查户数</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反映项目记账户数的基本情况</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每少1个记账户数，减数量分值10%，报告数少于95户得0分。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户</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《2017年住户样本轮换工作总体部署》</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调查户数</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劳动力调查户数</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每少1个记账户数，减数量分值10%，报告数少于95户得0分。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户</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调查户数</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反映开展1%人口抽样调查的户数</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每少1个记账户数，减数量分值10%，报告数少于490户得0分。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500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户</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流量卡数</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反映城乡住户调查项目流量卡使用数的基本情况</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每少一个流量卡，减数量分值10%，流量卡数少于95个的0分。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个</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流量卡数</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反映劳动力调查项目流量卡数量的基本情况</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每少一个流量卡，减数量分值10%，流量卡数少于95个的0分。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个</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采购设备数量</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反映劳动力调查中采购掌上电脑的数量</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完成目标数量得满分，未完成不得分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个</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设备补助人数</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反映城乡住户调查项目设备补助人数的基本情况</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每少一个人，减数量分值5%，低于100人得0分。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人</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接待人次</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开展统计工作接待人次</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每少一个接待人次，减数量分值10%，人数少于10人得0分。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40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人次</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培训人次</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开展统计工作培训人次</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每少1人，减数量分值10%，人数少于18人得0分。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130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人次</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办公人数</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开展统计工作办公人数</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每少一个人，减数量分值10%，人数少于15人得0分。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人</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调查样本数量</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满意度调查样本数量</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完成调查样本1000份得满分，每减少5%，扣该指标分值的10%，完成率低于60%得0分。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个</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《大厂回族自治县</w:t>
            </w:r>
            <w:r>
              <w:rPr>
                <w:rStyle w:val="17"/>
                <w:rFonts w:hint="eastAsia" w:ascii="宋体" w:hAnsi="宋体" w:eastAsia="宋体" w:cs="宋体"/>
              </w:rPr>
              <w:t>2020</w:t>
            </w:r>
            <w:r>
              <w:rPr>
                <w:rStyle w:val="18"/>
                <w:rFonts w:hint="eastAsia" w:ascii="宋体" w:hAnsi="宋体" w:eastAsia="宋体" w:cs="宋体"/>
              </w:rPr>
              <w:t>年基本公共服务满意度调查方案》</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调查频次</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满意度调查频次</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完成调查2次得满分，每减少1次，扣该指标分值的50%。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次</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《大厂回族自治县2020年基本公共服务满意度调查方案》</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政府采购服务</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反映以政府采购服务形式，完成服务的人数</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每减少1个，扣该指标分值的20%，不满2人得0分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人</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根据工作需求</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质量</w:t>
            </w:r>
          </w:p>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指标</w:t>
            </w: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考核合格通过率</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合格人数占培训人数比率</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合格率每降低10%，扣减该指标分值10%，满意度低于60%得0分。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百分比</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考核标准</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调查数据有效率</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调查数据有效率</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调查数据有效率98%得满分，每减少5%，扣该指标分值的10%，完成率低于60%得0分。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98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《大厂回族自治县2020年基本公共服务满意度调查方案》</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出勤率</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反映服务人员实际出勤天数占总天数的比率</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每减少指标值的10%，扣该指标分值的10%，完成率低于60%得0分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百分比</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工作要求</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时效</w:t>
            </w:r>
          </w:p>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指标</w:t>
            </w: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发放时间</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按季发放</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每晚发放1个月，减数量分值10%，发放时间晚于3个月，得0分。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季</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调查完成时间</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调查完成截止时间</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调查数据10月底完成得满分，每延期10天，扣该指标分值的10%，完成率低于60%得1分。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月份</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《大厂回族自治县2020年基本公共服务满意度调查方案》</w:t>
            </w:r>
          </w:p>
        </w:tc>
      </w:tr>
      <w:tr>
        <w:tblPrEx>
          <w:tblCellMar>
            <w:top w:w="15" w:type="dxa"/>
            <w:left w:w="15" w:type="dxa"/>
            <w:bottom w:w="15" w:type="dxa"/>
            <w:right w:w="15" w:type="dxa"/>
          </w:tblCellMar>
        </w:tblPrEx>
        <w:trPr>
          <w:trHeight w:val="9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发放及时率</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反映按时按月支付相关服务费用的情况</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每1次未按时支付，扣该指标分值的10%，低于60%得0分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月</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成本</w:t>
            </w:r>
          </w:p>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指标</w:t>
            </w: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补助标准</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城乡住户调查补助标准1</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单位成本每偏离指标值1%，减成本分值10%，偏离超过10%得0分。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150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元/户月</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《廊坊市人民政府办公室关于进一步加强居民收支调查工作的通知》</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补助标准</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城乡住户调查补助标准2</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单位成本每偏离指标值1%，减成本分值10%，偏离超过10%得0分。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250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元/人月</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《廊坊市人民政府办公室关于进一步加强居民收支调查工作的通知》</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补助标准</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劳动力调查补助标准1</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单位成本每偏离指标值1%，减成本分值10%，偏离超过10%得0分。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元/月</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78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设备标准</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劳动力调查采购掌上电脑标准</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单位成本每偏离指标值1%，减成本分值10%，偏离超过10%得0分。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元/台</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设备补贴标准</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设备补贴标准</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单位成本每偏离指标值1%，减成本分值10%，偏离超过10%得0分。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50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元/人月</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工作要求</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流量卡套餐标准</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城乡住户调查流量卡使用套餐标准</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单位成本每偏离指标值1%，减成本分值10%，偏离超过10%得0分。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40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元/台月</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《廊坊市人民政府办公室关于进一步加强居民收支调查工作的通知》</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流量卡套餐标准</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劳动力调查流量卡使用套餐标准</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单位成本每偏离指标值1%，减成本分值10%，偏离超过10%得0分。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元/台月</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入户礼品单价标准</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劳动力调查入户礼品标准</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单位成本每偏离指标值1%，减成本分值10%，偏离超过10%得0分。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50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元/户</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入户礼品单价标准</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1%人口抽样调查入户礼品标准</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单位成本每偏离指标值1%，减成本分值10%，偏离超过10%得0分。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元/户</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项目实施计划</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接待标准</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开展统计工作接待标准</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单位成本每偏离指标值1%，减成本分值10%，偏离超过10%得0分。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元/人</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工作需要</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培训标准</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对各专业统计人员培训标准</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单位成本每偏离指标值1%，减成本分值10%，偏离超过10%得0分。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元/人</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工作需要</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办公耗材标准</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项目涉及办公耗材标准</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单位成本每偏离指标值1%，减成本分值10%，偏离超过10%得0分。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162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元/人年</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工作需要</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成本控制率</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反映项目成本控制的基本情况</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单位成本每偏离指标值1%，减成本分值10%，偏离超过10%得0分。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《大厂回族自治县2020年基本公共服务满意度调查方案》</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成本控制率</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反映支付费用的控制情况</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人均劳务成本每偏离指标值10%，减成本分值5%，偏离超过10%得0分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百分比</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预算明细</w:t>
            </w:r>
          </w:p>
        </w:tc>
      </w:tr>
      <w:tr>
        <w:tblPrEx>
          <w:tblCellMar>
            <w:top w:w="15" w:type="dxa"/>
            <w:left w:w="15" w:type="dxa"/>
            <w:bottom w:w="15" w:type="dxa"/>
            <w:right w:w="15" w:type="dxa"/>
          </w:tblCellMar>
        </w:tblPrEx>
        <w:trPr>
          <w:trHeight w:val="240" w:hRule="atLeast"/>
        </w:trPr>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效益指标</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社会效益指标</w:t>
            </w: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统计准确率</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原始数据抄录准确次数占抄录总次数的比率</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每错误1次，减数量分值10%，错误4次得0分。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95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百分比</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工作要求</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置信度</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反映置信度调查结果情况</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调查结果置信度95%得满分，每减少5%，扣该指标分值的10%，完成率低于60%得0分。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95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《大厂回族自治县2020年基本公共服务满意度调查方案》</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可持续影响指标</w:t>
            </w: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提升基本公共服务质量</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提升基本公共服务质量</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效果显著得满分，效果一般得50%，效果不显著不得分。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文字描述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显著</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问卷调查</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社会效益指标</w:t>
            </w: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网络运转正常天数</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反映网络工作运行正常天数/全年运转天数</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网络运行良好得满分，网络运行偶尔存在问题得50%，网络运行经常出现问题得0分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百分比</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实际工作情况</w:t>
            </w:r>
          </w:p>
        </w:tc>
      </w:tr>
      <w:tr>
        <w:tblPrEx>
          <w:tblCellMar>
            <w:top w:w="15" w:type="dxa"/>
            <w:left w:w="15" w:type="dxa"/>
            <w:bottom w:w="15" w:type="dxa"/>
            <w:right w:w="15" w:type="dxa"/>
          </w:tblCellMar>
        </w:tblPrEx>
        <w:trPr>
          <w:trHeight w:val="240" w:hRule="atLeast"/>
        </w:trPr>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满意度</w:t>
            </w:r>
          </w:p>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指标</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服务对象满意度指标</w:t>
            </w: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县委、县政府满意度</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反映县委、县政府对相关数据统计分析结果的满意度</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满意度每降低10%，扣减满意度分值10%，满意度低于60%得0分。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95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百分比</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满意度调查问卷</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综合满意度</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反映群众调查结果情况满意度</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满意度为95%得满分，每降低5%，扣该指标分值的10%，满意度低于60%得0分。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95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问卷调查</w:t>
            </w:r>
          </w:p>
        </w:tc>
      </w:tr>
      <w:tr>
        <w:tblPrEx>
          <w:tblCellMar>
            <w:top w:w="15" w:type="dxa"/>
            <w:left w:w="15" w:type="dxa"/>
            <w:bottom w:w="15" w:type="dxa"/>
            <w:right w:w="15" w:type="dxa"/>
          </w:tblCellMar>
        </w:tblPrEx>
        <w:trPr>
          <w:trHeight w:val="24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eastAsia" w:ascii="宋体" w:hAnsi="宋体" w:eastAsia="宋体" w:cs="宋体"/>
                <w:color w:val="000000"/>
                <w:sz w:val="22"/>
                <w:szCs w:val="22"/>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部门满意度</w:t>
            </w:r>
          </w:p>
        </w:tc>
        <w:tc>
          <w:tcPr>
            <w:tcW w:w="25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反映部门单位对相关服务的满意度情况</w:t>
            </w:r>
          </w:p>
        </w:tc>
        <w:tc>
          <w:tcPr>
            <w:tcW w:w="346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综合满意度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95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百分比</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exac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rPr>
              <w:t>调查问卷</w:t>
            </w:r>
          </w:p>
        </w:tc>
      </w:tr>
    </w:tbl>
    <w:p>
      <w:pPr>
        <w:pStyle w:val="2"/>
        <w:spacing w:line="360" w:lineRule="exact"/>
        <w:ind w:left="0"/>
        <w:jc w:val="both"/>
      </w:pPr>
    </w:p>
    <w:p>
      <w:pPr>
        <w:spacing w:line="360" w:lineRule="exact"/>
        <w:rPr>
          <w:rFonts w:eastAsia="仿宋_GB2312"/>
          <w:sz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仿宋" w:hAnsi="仿宋" w:eastAsia="仿宋" w:cs="Times New Roman"/>
          <w:sz w:val="28"/>
        </w:rPr>
      </w:pPr>
    </w:p>
    <w:p>
      <w:pPr>
        <w:ind w:firstLine="560" w:firstLineChars="200"/>
        <w:jc w:val="left"/>
        <w:outlineLvl w:val="1"/>
        <w:rPr>
          <w:rFonts w:hint="eastAsia" w:ascii="方正仿宋_GBK" w:eastAsia="方正仿宋_GBK"/>
          <w:b/>
          <w:sz w:val="28"/>
        </w:rPr>
      </w:pPr>
      <w:r>
        <w:rPr>
          <w:rFonts w:ascii="仿宋" w:hAnsi="仿宋" w:eastAsia="仿宋" w:cs="Times New Roman"/>
          <w:sz w:val="28"/>
        </w:rPr>
        <w:t>1.</w:t>
      </w:r>
      <w:r>
        <w:rPr>
          <w:rFonts w:hint="eastAsia" w:ascii="仿宋" w:hAnsi="仿宋" w:eastAsia="仿宋" w:cs="Times New Roman"/>
          <w:sz w:val="28"/>
        </w:rPr>
        <w:t>专项统计调查经费绩效目标表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672"/>
        <w:gridCol w:w="812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6672" w:type="dxa"/>
            <w:tcBorders>
              <w:bottom w:val="single" w:color="FFFFFF" w:sz="6" w:space="0"/>
            </w:tcBorders>
            <w:vAlign w:val="center"/>
          </w:tcPr>
          <w:p>
            <w:pPr>
              <w:pStyle w:val="19"/>
            </w:pPr>
            <w:r>
              <w:t>绩效目标</w:t>
            </w:r>
          </w:p>
        </w:tc>
        <w:tc>
          <w:tcPr>
            <w:tcW w:w="8126" w:type="dxa"/>
            <w:tcBorders>
              <w:bottom w:val="single" w:color="FFFFFF" w:sz="6" w:space="0"/>
            </w:tcBorders>
            <w:vAlign w:val="center"/>
          </w:tcPr>
          <w:p>
            <w:pPr>
              <w:pStyle w:val="20"/>
            </w:pPr>
            <w:r>
              <w:t>1.通过开展城乡住户调查、劳动力调查、1%人口抽样调查、工业、农业、等涉及相关行业的专项统计调查监测，及时了解基层情况和动态，收集、整理统计数据。</w:t>
            </w:r>
          </w:p>
          <w:p>
            <w:pPr>
              <w:pStyle w:val="20"/>
            </w:pPr>
            <w:r>
              <w:t>2.通过开展城乡住户调查、劳动力调查、1%人口抽样调查、工业、农业、等涉及相关行业的专项统计调查监测，更好的为政府提供相关统计数据和统计分析，为县委、县政府社会经济决策提供相关资料。</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000"/>
        <w:gridCol w:w="2205"/>
        <w:gridCol w:w="3193"/>
        <w:gridCol w:w="1322"/>
        <w:gridCol w:w="36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9"/>
            </w:pPr>
            <w:r>
              <w:t>一级指标</w:t>
            </w:r>
          </w:p>
        </w:tc>
        <w:tc>
          <w:tcPr>
            <w:tcW w:w="2000" w:type="dxa"/>
            <w:vAlign w:val="center"/>
          </w:tcPr>
          <w:p>
            <w:pPr>
              <w:pStyle w:val="19"/>
            </w:pPr>
            <w:r>
              <w:t>二级指标</w:t>
            </w:r>
          </w:p>
        </w:tc>
        <w:tc>
          <w:tcPr>
            <w:tcW w:w="2205" w:type="dxa"/>
            <w:vAlign w:val="center"/>
          </w:tcPr>
          <w:p>
            <w:pPr>
              <w:pStyle w:val="19"/>
            </w:pPr>
            <w:r>
              <w:t>三级指标</w:t>
            </w:r>
          </w:p>
        </w:tc>
        <w:tc>
          <w:tcPr>
            <w:tcW w:w="3193" w:type="dxa"/>
            <w:vAlign w:val="center"/>
          </w:tcPr>
          <w:p>
            <w:pPr>
              <w:pStyle w:val="19"/>
            </w:pPr>
            <w:r>
              <w:t>绩效指标描述</w:t>
            </w:r>
          </w:p>
        </w:tc>
        <w:tc>
          <w:tcPr>
            <w:tcW w:w="1322" w:type="dxa"/>
            <w:vAlign w:val="center"/>
          </w:tcPr>
          <w:p>
            <w:pPr>
              <w:pStyle w:val="19"/>
            </w:pPr>
            <w:r>
              <w:t>指标值</w:t>
            </w:r>
          </w:p>
        </w:tc>
        <w:tc>
          <w:tcPr>
            <w:tcW w:w="3610"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1"/>
            </w:pPr>
            <w:r>
              <w:t>产出指标</w:t>
            </w:r>
          </w:p>
        </w:tc>
        <w:tc>
          <w:tcPr>
            <w:tcW w:w="2000" w:type="dxa"/>
            <w:vAlign w:val="center"/>
          </w:tcPr>
          <w:p>
            <w:pPr>
              <w:pStyle w:val="20"/>
            </w:pPr>
            <w:r>
              <w:t>数量指标</w:t>
            </w:r>
          </w:p>
        </w:tc>
        <w:tc>
          <w:tcPr>
            <w:tcW w:w="2205" w:type="dxa"/>
            <w:vAlign w:val="center"/>
          </w:tcPr>
          <w:p>
            <w:pPr>
              <w:pStyle w:val="20"/>
            </w:pPr>
            <w:r>
              <w:t>辅助调查员数</w:t>
            </w:r>
          </w:p>
        </w:tc>
        <w:tc>
          <w:tcPr>
            <w:tcW w:w="3193" w:type="dxa"/>
            <w:vAlign w:val="center"/>
          </w:tcPr>
          <w:p>
            <w:pPr>
              <w:pStyle w:val="20"/>
            </w:pPr>
            <w:r>
              <w:t>反映城乡住户调查项目辅助调查员数量的情况</w:t>
            </w:r>
          </w:p>
        </w:tc>
        <w:tc>
          <w:tcPr>
            <w:tcW w:w="1322" w:type="dxa"/>
            <w:vAlign w:val="center"/>
          </w:tcPr>
          <w:p>
            <w:pPr>
              <w:pStyle w:val="20"/>
            </w:pPr>
            <w:r>
              <w:t>10人</w:t>
            </w:r>
          </w:p>
        </w:tc>
        <w:tc>
          <w:tcPr>
            <w:tcW w:w="3610" w:type="dxa"/>
            <w:vAlign w:val="center"/>
          </w:tcPr>
          <w:p>
            <w:pPr>
              <w:pStyle w:val="20"/>
            </w:pPr>
            <w:r>
              <w:t>《2017年住户样本轮换工作总体部署》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数量指标</w:t>
            </w:r>
          </w:p>
        </w:tc>
        <w:tc>
          <w:tcPr>
            <w:tcW w:w="2205" w:type="dxa"/>
            <w:vAlign w:val="center"/>
          </w:tcPr>
          <w:p>
            <w:pPr>
              <w:pStyle w:val="20"/>
            </w:pPr>
            <w:r>
              <w:t>辅助调查员数</w:t>
            </w:r>
          </w:p>
        </w:tc>
        <w:tc>
          <w:tcPr>
            <w:tcW w:w="3193" w:type="dxa"/>
            <w:vAlign w:val="center"/>
          </w:tcPr>
          <w:p>
            <w:pPr>
              <w:pStyle w:val="20"/>
            </w:pPr>
            <w:r>
              <w:t xml:space="preserve">反映劳动力调查项目辅助调查员数量的基本情况 </w:t>
            </w:r>
          </w:p>
        </w:tc>
        <w:tc>
          <w:tcPr>
            <w:tcW w:w="1322" w:type="dxa"/>
            <w:vAlign w:val="center"/>
          </w:tcPr>
          <w:p>
            <w:pPr>
              <w:pStyle w:val="20"/>
            </w:pPr>
            <w:r>
              <w:t>1人</w:t>
            </w:r>
          </w:p>
        </w:tc>
        <w:tc>
          <w:tcPr>
            <w:tcW w:w="3610"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数量指标</w:t>
            </w:r>
          </w:p>
        </w:tc>
        <w:tc>
          <w:tcPr>
            <w:tcW w:w="2205" w:type="dxa"/>
            <w:vAlign w:val="center"/>
          </w:tcPr>
          <w:p>
            <w:pPr>
              <w:pStyle w:val="20"/>
            </w:pPr>
            <w:r>
              <w:t>调查户数</w:t>
            </w:r>
          </w:p>
        </w:tc>
        <w:tc>
          <w:tcPr>
            <w:tcW w:w="3193" w:type="dxa"/>
            <w:vAlign w:val="center"/>
          </w:tcPr>
          <w:p>
            <w:pPr>
              <w:pStyle w:val="20"/>
            </w:pPr>
            <w:r>
              <w:t>反映项目记账户数的基本情况</w:t>
            </w:r>
          </w:p>
        </w:tc>
        <w:tc>
          <w:tcPr>
            <w:tcW w:w="1322" w:type="dxa"/>
            <w:vAlign w:val="center"/>
          </w:tcPr>
          <w:p>
            <w:pPr>
              <w:pStyle w:val="20"/>
            </w:pPr>
            <w:r>
              <w:t>100户</w:t>
            </w:r>
          </w:p>
        </w:tc>
        <w:tc>
          <w:tcPr>
            <w:tcW w:w="3610" w:type="dxa"/>
            <w:vAlign w:val="center"/>
          </w:tcPr>
          <w:p>
            <w:pPr>
              <w:pStyle w:val="20"/>
            </w:pPr>
            <w:r>
              <w:t>《2017年住户样本轮换工作总体部署》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数量指标</w:t>
            </w:r>
          </w:p>
        </w:tc>
        <w:tc>
          <w:tcPr>
            <w:tcW w:w="2205" w:type="dxa"/>
            <w:vAlign w:val="center"/>
          </w:tcPr>
          <w:p>
            <w:pPr>
              <w:pStyle w:val="20"/>
            </w:pPr>
            <w:r>
              <w:t>调查户数</w:t>
            </w:r>
          </w:p>
        </w:tc>
        <w:tc>
          <w:tcPr>
            <w:tcW w:w="3193" w:type="dxa"/>
            <w:vAlign w:val="center"/>
          </w:tcPr>
          <w:p>
            <w:pPr>
              <w:pStyle w:val="20"/>
            </w:pPr>
            <w:r>
              <w:t>劳动力调查户数</w:t>
            </w:r>
          </w:p>
        </w:tc>
        <w:tc>
          <w:tcPr>
            <w:tcW w:w="1322" w:type="dxa"/>
            <w:vAlign w:val="center"/>
          </w:tcPr>
          <w:p>
            <w:pPr>
              <w:pStyle w:val="20"/>
            </w:pPr>
            <w:r>
              <w:t>104户</w:t>
            </w:r>
          </w:p>
        </w:tc>
        <w:tc>
          <w:tcPr>
            <w:tcW w:w="3610"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数量指标</w:t>
            </w:r>
          </w:p>
        </w:tc>
        <w:tc>
          <w:tcPr>
            <w:tcW w:w="2205" w:type="dxa"/>
            <w:vAlign w:val="center"/>
          </w:tcPr>
          <w:p>
            <w:pPr>
              <w:pStyle w:val="20"/>
            </w:pPr>
            <w:r>
              <w:t>调查户数</w:t>
            </w:r>
          </w:p>
        </w:tc>
        <w:tc>
          <w:tcPr>
            <w:tcW w:w="3193" w:type="dxa"/>
            <w:vAlign w:val="center"/>
          </w:tcPr>
          <w:p>
            <w:pPr>
              <w:pStyle w:val="20"/>
            </w:pPr>
            <w:r>
              <w:t>反映开展1%人口抽样调查的户数</w:t>
            </w:r>
          </w:p>
        </w:tc>
        <w:tc>
          <w:tcPr>
            <w:tcW w:w="1322" w:type="dxa"/>
            <w:vAlign w:val="center"/>
          </w:tcPr>
          <w:p>
            <w:pPr>
              <w:pStyle w:val="20"/>
            </w:pPr>
            <w:r>
              <w:t>500户</w:t>
            </w:r>
          </w:p>
        </w:tc>
        <w:tc>
          <w:tcPr>
            <w:tcW w:w="3610"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数量指标</w:t>
            </w:r>
          </w:p>
        </w:tc>
        <w:tc>
          <w:tcPr>
            <w:tcW w:w="2205" w:type="dxa"/>
            <w:vAlign w:val="center"/>
          </w:tcPr>
          <w:p>
            <w:pPr>
              <w:pStyle w:val="20"/>
            </w:pPr>
            <w:r>
              <w:t>流量卡数</w:t>
            </w:r>
          </w:p>
        </w:tc>
        <w:tc>
          <w:tcPr>
            <w:tcW w:w="3193" w:type="dxa"/>
            <w:vAlign w:val="center"/>
          </w:tcPr>
          <w:p>
            <w:pPr>
              <w:pStyle w:val="20"/>
            </w:pPr>
            <w:r>
              <w:t>反映城乡住户调查项目流量卡使用数的基本情况</w:t>
            </w:r>
          </w:p>
        </w:tc>
        <w:tc>
          <w:tcPr>
            <w:tcW w:w="1322" w:type="dxa"/>
            <w:vAlign w:val="center"/>
          </w:tcPr>
          <w:p>
            <w:pPr>
              <w:pStyle w:val="20"/>
            </w:pPr>
            <w:r>
              <w:t>100个</w:t>
            </w:r>
          </w:p>
        </w:tc>
        <w:tc>
          <w:tcPr>
            <w:tcW w:w="3610"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数量指标</w:t>
            </w:r>
          </w:p>
        </w:tc>
        <w:tc>
          <w:tcPr>
            <w:tcW w:w="2205" w:type="dxa"/>
            <w:vAlign w:val="center"/>
          </w:tcPr>
          <w:p>
            <w:pPr>
              <w:pStyle w:val="20"/>
            </w:pPr>
            <w:r>
              <w:t>流量卡数</w:t>
            </w:r>
          </w:p>
        </w:tc>
        <w:tc>
          <w:tcPr>
            <w:tcW w:w="3193" w:type="dxa"/>
            <w:vAlign w:val="center"/>
          </w:tcPr>
          <w:p>
            <w:pPr>
              <w:pStyle w:val="20"/>
            </w:pPr>
            <w:r>
              <w:t>反映劳动力调查项目流量卡数量的基本情况</w:t>
            </w:r>
          </w:p>
        </w:tc>
        <w:tc>
          <w:tcPr>
            <w:tcW w:w="1322" w:type="dxa"/>
            <w:vAlign w:val="center"/>
          </w:tcPr>
          <w:p>
            <w:pPr>
              <w:pStyle w:val="20"/>
            </w:pPr>
            <w:r>
              <w:t>1个</w:t>
            </w:r>
          </w:p>
        </w:tc>
        <w:tc>
          <w:tcPr>
            <w:tcW w:w="3610"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数量指标</w:t>
            </w:r>
          </w:p>
        </w:tc>
        <w:tc>
          <w:tcPr>
            <w:tcW w:w="2205" w:type="dxa"/>
            <w:vAlign w:val="center"/>
          </w:tcPr>
          <w:p>
            <w:pPr>
              <w:pStyle w:val="20"/>
            </w:pPr>
            <w:r>
              <w:t>采购设备数量</w:t>
            </w:r>
          </w:p>
        </w:tc>
        <w:tc>
          <w:tcPr>
            <w:tcW w:w="3193" w:type="dxa"/>
            <w:vAlign w:val="center"/>
          </w:tcPr>
          <w:p>
            <w:pPr>
              <w:pStyle w:val="20"/>
            </w:pPr>
            <w:r>
              <w:t>反映劳动力调查中采购掌上电脑的数量</w:t>
            </w:r>
          </w:p>
        </w:tc>
        <w:tc>
          <w:tcPr>
            <w:tcW w:w="1322" w:type="dxa"/>
            <w:vAlign w:val="center"/>
          </w:tcPr>
          <w:p>
            <w:pPr>
              <w:pStyle w:val="20"/>
            </w:pPr>
            <w:r>
              <w:t>1个</w:t>
            </w:r>
          </w:p>
        </w:tc>
        <w:tc>
          <w:tcPr>
            <w:tcW w:w="3610"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数量指标</w:t>
            </w:r>
          </w:p>
        </w:tc>
        <w:tc>
          <w:tcPr>
            <w:tcW w:w="2205" w:type="dxa"/>
            <w:vAlign w:val="center"/>
          </w:tcPr>
          <w:p>
            <w:pPr>
              <w:pStyle w:val="20"/>
            </w:pPr>
            <w:r>
              <w:t>设备补助人数</w:t>
            </w:r>
          </w:p>
        </w:tc>
        <w:tc>
          <w:tcPr>
            <w:tcW w:w="3193" w:type="dxa"/>
            <w:vAlign w:val="center"/>
          </w:tcPr>
          <w:p>
            <w:pPr>
              <w:pStyle w:val="20"/>
            </w:pPr>
            <w:r>
              <w:t>反映城乡住户调查项目设备补助人数的基本情况</w:t>
            </w:r>
          </w:p>
        </w:tc>
        <w:tc>
          <w:tcPr>
            <w:tcW w:w="1322" w:type="dxa"/>
            <w:vAlign w:val="center"/>
          </w:tcPr>
          <w:p>
            <w:pPr>
              <w:pStyle w:val="20"/>
            </w:pPr>
            <w:r>
              <w:t>110人</w:t>
            </w:r>
          </w:p>
        </w:tc>
        <w:tc>
          <w:tcPr>
            <w:tcW w:w="3610"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数量指标</w:t>
            </w:r>
          </w:p>
        </w:tc>
        <w:tc>
          <w:tcPr>
            <w:tcW w:w="2205" w:type="dxa"/>
            <w:vAlign w:val="center"/>
          </w:tcPr>
          <w:p>
            <w:pPr>
              <w:pStyle w:val="20"/>
            </w:pPr>
            <w:r>
              <w:t>接待人次</w:t>
            </w:r>
          </w:p>
        </w:tc>
        <w:tc>
          <w:tcPr>
            <w:tcW w:w="3193" w:type="dxa"/>
            <w:vAlign w:val="center"/>
          </w:tcPr>
          <w:p>
            <w:pPr>
              <w:pStyle w:val="20"/>
            </w:pPr>
            <w:r>
              <w:t>开展统计工作接待人次</w:t>
            </w:r>
          </w:p>
        </w:tc>
        <w:tc>
          <w:tcPr>
            <w:tcW w:w="1322" w:type="dxa"/>
            <w:vAlign w:val="center"/>
          </w:tcPr>
          <w:p>
            <w:pPr>
              <w:pStyle w:val="20"/>
            </w:pPr>
            <w:r>
              <w:t>≥40人次</w:t>
            </w:r>
          </w:p>
        </w:tc>
        <w:tc>
          <w:tcPr>
            <w:tcW w:w="3610"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数量指标</w:t>
            </w:r>
          </w:p>
        </w:tc>
        <w:tc>
          <w:tcPr>
            <w:tcW w:w="2205" w:type="dxa"/>
            <w:vAlign w:val="center"/>
          </w:tcPr>
          <w:p>
            <w:pPr>
              <w:pStyle w:val="20"/>
            </w:pPr>
            <w:r>
              <w:t>培训人次</w:t>
            </w:r>
          </w:p>
        </w:tc>
        <w:tc>
          <w:tcPr>
            <w:tcW w:w="3193" w:type="dxa"/>
            <w:vAlign w:val="center"/>
          </w:tcPr>
          <w:p>
            <w:pPr>
              <w:pStyle w:val="20"/>
            </w:pPr>
            <w:r>
              <w:t>开展统计工作培训人次</w:t>
            </w:r>
          </w:p>
        </w:tc>
        <w:tc>
          <w:tcPr>
            <w:tcW w:w="1322" w:type="dxa"/>
            <w:vAlign w:val="center"/>
          </w:tcPr>
          <w:p>
            <w:pPr>
              <w:pStyle w:val="20"/>
            </w:pPr>
            <w:r>
              <w:t>≥130人次</w:t>
            </w:r>
          </w:p>
        </w:tc>
        <w:tc>
          <w:tcPr>
            <w:tcW w:w="3610"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数量指标</w:t>
            </w:r>
          </w:p>
        </w:tc>
        <w:tc>
          <w:tcPr>
            <w:tcW w:w="2205" w:type="dxa"/>
            <w:vAlign w:val="center"/>
          </w:tcPr>
          <w:p>
            <w:pPr>
              <w:pStyle w:val="20"/>
            </w:pPr>
            <w:r>
              <w:t>办公人数</w:t>
            </w:r>
          </w:p>
        </w:tc>
        <w:tc>
          <w:tcPr>
            <w:tcW w:w="3193" w:type="dxa"/>
            <w:vAlign w:val="center"/>
          </w:tcPr>
          <w:p>
            <w:pPr>
              <w:pStyle w:val="20"/>
            </w:pPr>
            <w:r>
              <w:t>开展统计工作办公人数</w:t>
            </w:r>
          </w:p>
        </w:tc>
        <w:tc>
          <w:tcPr>
            <w:tcW w:w="1322" w:type="dxa"/>
            <w:vAlign w:val="center"/>
          </w:tcPr>
          <w:p>
            <w:pPr>
              <w:pStyle w:val="20"/>
            </w:pPr>
            <w:r>
              <w:t>20人</w:t>
            </w:r>
          </w:p>
        </w:tc>
        <w:tc>
          <w:tcPr>
            <w:tcW w:w="3610"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质量指标</w:t>
            </w:r>
          </w:p>
        </w:tc>
        <w:tc>
          <w:tcPr>
            <w:tcW w:w="2205" w:type="dxa"/>
            <w:vAlign w:val="center"/>
          </w:tcPr>
          <w:p>
            <w:pPr>
              <w:pStyle w:val="20"/>
            </w:pPr>
            <w:r>
              <w:t>考核合格通过率</w:t>
            </w:r>
          </w:p>
        </w:tc>
        <w:tc>
          <w:tcPr>
            <w:tcW w:w="3193" w:type="dxa"/>
            <w:vAlign w:val="center"/>
          </w:tcPr>
          <w:p>
            <w:pPr>
              <w:pStyle w:val="20"/>
            </w:pPr>
            <w:r>
              <w:t>合格人数占培训人数比率</w:t>
            </w:r>
          </w:p>
        </w:tc>
        <w:tc>
          <w:tcPr>
            <w:tcW w:w="1322" w:type="dxa"/>
            <w:vAlign w:val="center"/>
          </w:tcPr>
          <w:p>
            <w:pPr>
              <w:pStyle w:val="20"/>
            </w:pPr>
            <w:r>
              <w:t>100百分比</w:t>
            </w:r>
          </w:p>
        </w:tc>
        <w:tc>
          <w:tcPr>
            <w:tcW w:w="3610" w:type="dxa"/>
            <w:vAlign w:val="center"/>
          </w:tcPr>
          <w:p>
            <w:pPr>
              <w:pStyle w:val="20"/>
            </w:pPr>
            <w: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时效指标</w:t>
            </w:r>
          </w:p>
        </w:tc>
        <w:tc>
          <w:tcPr>
            <w:tcW w:w="2205" w:type="dxa"/>
            <w:vAlign w:val="center"/>
          </w:tcPr>
          <w:p>
            <w:pPr>
              <w:pStyle w:val="20"/>
            </w:pPr>
            <w:r>
              <w:t>发放时间</w:t>
            </w:r>
          </w:p>
        </w:tc>
        <w:tc>
          <w:tcPr>
            <w:tcW w:w="3193" w:type="dxa"/>
            <w:vAlign w:val="center"/>
          </w:tcPr>
          <w:p>
            <w:pPr>
              <w:pStyle w:val="20"/>
            </w:pPr>
            <w:r>
              <w:t>按季发放</w:t>
            </w:r>
          </w:p>
        </w:tc>
        <w:tc>
          <w:tcPr>
            <w:tcW w:w="1322" w:type="dxa"/>
            <w:vAlign w:val="center"/>
          </w:tcPr>
          <w:p>
            <w:pPr>
              <w:pStyle w:val="20"/>
            </w:pPr>
            <w:r>
              <w:t>1季</w:t>
            </w:r>
          </w:p>
        </w:tc>
        <w:tc>
          <w:tcPr>
            <w:tcW w:w="3610"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成本指标</w:t>
            </w:r>
          </w:p>
        </w:tc>
        <w:tc>
          <w:tcPr>
            <w:tcW w:w="2205" w:type="dxa"/>
            <w:vAlign w:val="center"/>
          </w:tcPr>
          <w:p>
            <w:pPr>
              <w:pStyle w:val="20"/>
            </w:pPr>
            <w:r>
              <w:t>补助标准</w:t>
            </w:r>
          </w:p>
        </w:tc>
        <w:tc>
          <w:tcPr>
            <w:tcW w:w="3193" w:type="dxa"/>
            <w:vAlign w:val="center"/>
          </w:tcPr>
          <w:p>
            <w:pPr>
              <w:pStyle w:val="20"/>
            </w:pPr>
            <w:r>
              <w:t>城乡住户调查补助标准1</w:t>
            </w:r>
          </w:p>
        </w:tc>
        <w:tc>
          <w:tcPr>
            <w:tcW w:w="1322" w:type="dxa"/>
            <w:vAlign w:val="center"/>
          </w:tcPr>
          <w:p>
            <w:pPr>
              <w:pStyle w:val="20"/>
            </w:pPr>
            <w:r>
              <w:t>150元/户月</w:t>
            </w:r>
          </w:p>
        </w:tc>
        <w:tc>
          <w:tcPr>
            <w:tcW w:w="3610" w:type="dxa"/>
            <w:vAlign w:val="center"/>
          </w:tcPr>
          <w:p>
            <w:pPr>
              <w:pStyle w:val="20"/>
            </w:pPr>
            <w:r>
              <w:t>《廊坊市人民政府办公室关于进一步加强居民收支调查工作的通知》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成本指标</w:t>
            </w:r>
          </w:p>
        </w:tc>
        <w:tc>
          <w:tcPr>
            <w:tcW w:w="2205" w:type="dxa"/>
            <w:vAlign w:val="center"/>
          </w:tcPr>
          <w:p>
            <w:pPr>
              <w:pStyle w:val="20"/>
            </w:pPr>
            <w:r>
              <w:t>补助标准</w:t>
            </w:r>
          </w:p>
        </w:tc>
        <w:tc>
          <w:tcPr>
            <w:tcW w:w="3193" w:type="dxa"/>
            <w:vAlign w:val="center"/>
          </w:tcPr>
          <w:p>
            <w:pPr>
              <w:pStyle w:val="20"/>
            </w:pPr>
            <w:r>
              <w:t>城乡住户调查补助标准2</w:t>
            </w:r>
          </w:p>
        </w:tc>
        <w:tc>
          <w:tcPr>
            <w:tcW w:w="1322" w:type="dxa"/>
            <w:vAlign w:val="center"/>
          </w:tcPr>
          <w:p>
            <w:pPr>
              <w:pStyle w:val="20"/>
            </w:pPr>
            <w:r>
              <w:t>250元/人月</w:t>
            </w:r>
          </w:p>
        </w:tc>
        <w:tc>
          <w:tcPr>
            <w:tcW w:w="3610" w:type="dxa"/>
            <w:vAlign w:val="center"/>
          </w:tcPr>
          <w:p>
            <w:pPr>
              <w:pStyle w:val="20"/>
            </w:pPr>
            <w:r>
              <w:t>《廊坊市人民政府办公室关于进一步加强居民收支调查工作的通知》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成本指标</w:t>
            </w:r>
          </w:p>
        </w:tc>
        <w:tc>
          <w:tcPr>
            <w:tcW w:w="2205" w:type="dxa"/>
            <w:vAlign w:val="center"/>
          </w:tcPr>
          <w:p>
            <w:pPr>
              <w:pStyle w:val="20"/>
            </w:pPr>
            <w:r>
              <w:t>补助标准</w:t>
            </w:r>
          </w:p>
        </w:tc>
        <w:tc>
          <w:tcPr>
            <w:tcW w:w="3193" w:type="dxa"/>
            <w:vAlign w:val="center"/>
          </w:tcPr>
          <w:p>
            <w:pPr>
              <w:pStyle w:val="20"/>
            </w:pPr>
            <w:r>
              <w:t>劳动力调查补助标准1</w:t>
            </w:r>
          </w:p>
        </w:tc>
        <w:tc>
          <w:tcPr>
            <w:tcW w:w="1322" w:type="dxa"/>
            <w:vAlign w:val="center"/>
          </w:tcPr>
          <w:p>
            <w:pPr>
              <w:pStyle w:val="20"/>
            </w:pPr>
            <w:r>
              <w:t>1000元/月</w:t>
            </w:r>
          </w:p>
        </w:tc>
        <w:tc>
          <w:tcPr>
            <w:tcW w:w="3610"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成本指标</w:t>
            </w:r>
          </w:p>
        </w:tc>
        <w:tc>
          <w:tcPr>
            <w:tcW w:w="2205" w:type="dxa"/>
            <w:vAlign w:val="center"/>
          </w:tcPr>
          <w:p>
            <w:pPr>
              <w:pStyle w:val="20"/>
            </w:pPr>
            <w:r>
              <w:t>设备标准</w:t>
            </w:r>
          </w:p>
        </w:tc>
        <w:tc>
          <w:tcPr>
            <w:tcW w:w="3193" w:type="dxa"/>
            <w:vAlign w:val="center"/>
          </w:tcPr>
          <w:p>
            <w:pPr>
              <w:pStyle w:val="20"/>
            </w:pPr>
            <w:r>
              <w:t>劳动力调查采购掌上电脑标准</w:t>
            </w:r>
          </w:p>
        </w:tc>
        <w:tc>
          <w:tcPr>
            <w:tcW w:w="1322" w:type="dxa"/>
            <w:vAlign w:val="center"/>
          </w:tcPr>
          <w:p>
            <w:pPr>
              <w:pStyle w:val="20"/>
            </w:pPr>
            <w:r>
              <w:t>2000元/台</w:t>
            </w:r>
          </w:p>
        </w:tc>
        <w:tc>
          <w:tcPr>
            <w:tcW w:w="3610"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成本指标</w:t>
            </w:r>
          </w:p>
        </w:tc>
        <w:tc>
          <w:tcPr>
            <w:tcW w:w="2205" w:type="dxa"/>
            <w:vAlign w:val="center"/>
          </w:tcPr>
          <w:p>
            <w:pPr>
              <w:pStyle w:val="20"/>
            </w:pPr>
            <w:r>
              <w:t>设备补贴标准</w:t>
            </w:r>
          </w:p>
        </w:tc>
        <w:tc>
          <w:tcPr>
            <w:tcW w:w="3193" w:type="dxa"/>
            <w:vAlign w:val="center"/>
          </w:tcPr>
          <w:p>
            <w:pPr>
              <w:pStyle w:val="20"/>
            </w:pPr>
            <w:r>
              <w:t>设备补贴标准</w:t>
            </w:r>
          </w:p>
        </w:tc>
        <w:tc>
          <w:tcPr>
            <w:tcW w:w="1322" w:type="dxa"/>
            <w:vAlign w:val="center"/>
          </w:tcPr>
          <w:p>
            <w:pPr>
              <w:pStyle w:val="20"/>
            </w:pPr>
            <w:r>
              <w:t>50元/人月</w:t>
            </w:r>
          </w:p>
        </w:tc>
        <w:tc>
          <w:tcPr>
            <w:tcW w:w="3610" w:type="dxa"/>
            <w:vAlign w:val="center"/>
          </w:tcPr>
          <w:p>
            <w:pPr>
              <w:pStyle w:val="2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成本指标</w:t>
            </w:r>
          </w:p>
        </w:tc>
        <w:tc>
          <w:tcPr>
            <w:tcW w:w="2205" w:type="dxa"/>
            <w:vAlign w:val="center"/>
          </w:tcPr>
          <w:p>
            <w:pPr>
              <w:pStyle w:val="20"/>
            </w:pPr>
            <w:r>
              <w:t>流量卡套餐标准</w:t>
            </w:r>
          </w:p>
        </w:tc>
        <w:tc>
          <w:tcPr>
            <w:tcW w:w="3193" w:type="dxa"/>
            <w:vAlign w:val="center"/>
          </w:tcPr>
          <w:p>
            <w:pPr>
              <w:pStyle w:val="20"/>
            </w:pPr>
            <w:r>
              <w:t>城乡住户调查流量卡使用套餐标准</w:t>
            </w:r>
          </w:p>
        </w:tc>
        <w:tc>
          <w:tcPr>
            <w:tcW w:w="1322" w:type="dxa"/>
            <w:vAlign w:val="center"/>
          </w:tcPr>
          <w:p>
            <w:pPr>
              <w:pStyle w:val="20"/>
            </w:pPr>
            <w:r>
              <w:t>40元/台月</w:t>
            </w:r>
          </w:p>
        </w:tc>
        <w:tc>
          <w:tcPr>
            <w:tcW w:w="3610" w:type="dxa"/>
            <w:vAlign w:val="center"/>
          </w:tcPr>
          <w:p>
            <w:pPr>
              <w:pStyle w:val="20"/>
            </w:pPr>
            <w:r>
              <w:t>《廊坊市人民政府办公室关于进一步加强居民收支调查工作的通知》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成本指标</w:t>
            </w:r>
          </w:p>
        </w:tc>
        <w:tc>
          <w:tcPr>
            <w:tcW w:w="2205" w:type="dxa"/>
            <w:vAlign w:val="center"/>
          </w:tcPr>
          <w:p>
            <w:pPr>
              <w:pStyle w:val="20"/>
            </w:pPr>
            <w:r>
              <w:t>流量卡套餐标准</w:t>
            </w:r>
          </w:p>
        </w:tc>
        <w:tc>
          <w:tcPr>
            <w:tcW w:w="3193" w:type="dxa"/>
            <w:vAlign w:val="center"/>
          </w:tcPr>
          <w:p>
            <w:pPr>
              <w:pStyle w:val="20"/>
            </w:pPr>
            <w:r>
              <w:t>劳动力调查流量卡使用套餐标准</w:t>
            </w:r>
          </w:p>
        </w:tc>
        <w:tc>
          <w:tcPr>
            <w:tcW w:w="1322" w:type="dxa"/>
            <w:vAlign w:val="center"/>
          </w:tcPr>
          <w:p>
            <w:pPr>
              <w:pStyle w:val="20"/>
            </w:pPr>
            <w:r>
              <w:t>30元/台月</w:t>
            </w:r>
          </w:p>
        </w:tc>
        <w:tc>
          <w:tcPr>
            <w:tcW w:w="3610"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成本指标</w:t>
            </w:r>
          </w:p>
        </w:tc>
        <w:tc>
          <w:tcPr>
            <w:tcW w:w="2205" w:type="dxa"/>
            <w:vAlign w:val="center"/>
          </w:tcPr>
          <w:p>
            <w:pPr>
              <w:pStyle w:val="20"/>
            </w:pPr>
            <w:r>
              <w:t>入户礼品单价标准</w:t>
            </w:r>
          </w:p>
        </w:tc>
        <w:tc>
          <w:tcPr>
            <w:tcW w:w="3193" w:type="dxa"/>
            <w:vAlign w:val="center"/>
          </w:tcPr>
          <w:p>
            <w:pPr>
              <w:pStyle w:val="20"/>
            </w:pPr>
            <w:r>
              <w:t>劳动力调查入户礼品标准</w:t>
            </w:r>
          </w:p>
        </w:tc>
        <w:tc>
          <w:tcPr>
            <w:tcW w:w="1322" w:type="dxa"/>
            <w:vAlign w:val="center"/>
          </w:tcPr>
          <w:p>
            <w:pPr>
              <w:pStyle w:val="20"/>
            </w:pPr>
            <w:r>
              <w:t>50元/户</w:t>
            </w:r>
          </w:p>
        </w:tc>
        <w:tc>
          <w:tcPr>
            <w:tcW w:w="3610"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成本指标</w:t>
            </w:r>
          </w:p>
        </w:tc>
        <w:tc>
          <w:tcPr>
            <w:tcW w:w="2205" w:type="dxa"/>
            <w:vAlign w:val="center"/>
          </w:tcPr>
          <w:p>
            <w:pPr>
              <w:pStyle w:val="20"/>
            </w:pPr>
            <w:r>
              <w:t>入户礼品单价标准</w:t>
            </w:r>
          </w:p>
        </w:tc>
        <w:tc>
          <w:tcPr>
            <w:tcW w:w="3193" w:type="dxa"/>
            <w:vAlign w:val="center"/>
          </w:tcPr>
          <w:p>
            <w:pPr>
              <w:pStyle w:val="20"/>
            </w:pPr>
            <w:r>
              <w:t>1%人口抽样调查入户礼品标准</w:t>
            </w:r>
          </w:p>
        </w:tc>
        <w:tc>
          <w:tcPr>
            <w:tcW w:w="1322" w:type="dxa"/>
            <w:vAlign w:val="center"/>
          </w:tcPr>
          <w:p>
            <w:pPr>
              <w:pStyle w:val="20"/>
            </w:pPr>
            <w:r>
              <w:t>10元/户</w:t>
            </w:r>
          </w:p>
        </w:tc>
        <w:tc>
          <w:tcPr>
            <w:tcW w:w="3610"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成本指标</w:t>
            </w:r>
          </w:p>
        </w:tc>
        <w:tc>
          <w:tcPr>
            <w:tcW w:w="2205" w:type="dxa"/>
            <w:vAlign w:val="center"/>
          </w:tcPr>
          <w:p>
            <w:pPr>
              <w:pStyle w:val="20"/>
            </w:pPr>
            <w:r>
              <w:t>接待标准</w:t>
            </w:r>
          </w:p>
        </w:tc>
        <w:tc>
          <w:tcPr>
            <w:tcW w:w="3193" w:type="dxa"/>
            <w:vAlign w:val="center"/>
          </w:tcPr>
          <w:p>
            <w:pPr>
              <w:pStyle w:val="20"/>
            </w:pPr>
            <w:r>
              <w:t>开展统计工作接待标准</w:t>
            </w:r>
          </w:p>
        </w:tc>
        <w:tc>
          <w:tcPr>
            <w:tcW w:w="1322" w:type="dxa"/>
            <w:vAlign w:val="center"/>
          </w:tcPr>
          <w:p>
            <w:pPr>
              <w:pStyle w:val="20"/>
            </w:pPr>
            <w:r>
              <w:t>≤100元/人</w:t>
            </w:r>
          </w:p>
        </w:tc>
        <w:tc>
          <w:tcPr>
            <w:tcW w:w="3610"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成本指标</w:t>
            </w:r>
          </w:p>
        </w:tc>
        <w:tc>
          <w:tcPr>
            <w:tcW w:w="2205" w:type="dxa"/>
            <w:vAlign w:val="center"/>
          </w:tcPr>
          <w:p>
            <w:pPr>
              <w:pStyle w:val="20"/>
            </w:pPr>
            <w:r>
              <w:t>培训标准</w:t>
            </w:r>
          </w:p>
        </w:tc>
        <w:tc>
          <w:tcPr>
            <w:tcW w:w="3193" w:type="dxa"/>
            <w:vAlign w:val="center"/>
          </w:tcPr>
          <w:p>
            <w:pPr>
              <w:pStyle w:val="20"/>
            </w:pPr>
            <w:r>
              <w:t>对各专业统计人员培训标准</w:t>
            </w:r>
          </w:p>
        </w:tc>
        <w:tc>
          <w:tcPr>
            <w:tcW w:w="1322" w:type="dxa"/>
            <w:vAlign w:val="center"/>
          </w:tcPr>
          <w:p>
            <w:pPr>
              <w:pStyle w:val="20"/>
            </w:pPr>
            <w:r>
              <w:t>≤100元/人</w:t>
            </w:r>
          </w:p>
        </w:tc>
        <w:tc>
          <w:tcPr>
            <w:tcW w:w="3610"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000" w:type="dxa"/>
            <w:vAlign w:val="center"/>
          </w:tcPr>
          <w:p>
            <w:pPr>
              <w:pStyle w:val="20"/>
            </w:pPr>
            <w:r>
              <w:t>成本指标</w:t>
            </w:r>
          </w:p>
        </w:tc>
        <w:tc>
          <w:tcPr>
            <w:tcW w:w="2205" w:type="dxa"/>
            <w:vAlign w:val="center"/>
          </w:tcPr>
          <w:p>
            <w:pPr>
              <w:pStyle w:val="20"/>
            </w:pPr>
            <w:r>
              <w:t>办公耗材标准</w:t>
            </w:r>
          </w:p>
        </w:tc>
        <w:tc>
          <w:tcPr>
            <w:tcW w:w="3193" w:type="dxa"/>
            <w:vAlign w:val="center"/>
          </w:tcPr>
          <w:p>
            <w:pPr>
              <w:pStyle w:val="20"/>
            </w:pPr>
            <w:r>
              <w:t>项目涉及办公耗材标准</w:t>
            </w:r>
          </w:p>
        </w:tc>
        <w:tc>
          <w:tcPr>
            <w:tcW w:w="1322" w:type="dxa"/>
            <w:vAlign w:val="center"/>
          </w:tcPr>
          <w:p>
            <w:pPr>
              <w:pStyle w:val="20"/>
            </w:pPr>
            <w:r>
              <w:t>162元/人年</w:t>
            </w:r>
          </w:p>
        </w:tc>
        <w:tc>
          <w:tcPr>
            <w:tcW w:w="3610"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1"/>
            </w:pPr>
            <w:r>
              <w:t>效益指标</w:t>
            </w:r>
          </w:p>
        </w:tc>
        <w:tc>
          <w:tcPr>
            <w:tcW w:w="2000" w:type="dxa"/>
            <w:vAlign w:val="center"/>
          </w:tcPr>
          <w:p>
            <w:pPr>
              <w:pStyle w:val="20"/>
            </w:pPr>
            <w:r>
              <w:t>社会效益指标</w:t>
            </w:r>
          </w:p>
        </w:tc>
        <w:tc>
          <w:tcPr>
            <w:tcW w:w="2205" w:type="dxa"/>
            <w:vAlign w:val="center"/>
          </w:tcPr>
          <w:p>
            <w:pPr>
              <w:pStyle w:val="20"/>
            </w:pPr>
            <w:r>
              <w:t>统计准确率</w:t>
            </w:r>
          </w:p>
        </w:tc>
        <w:tc>
          <w:tcPr>
            <w:tcW w:w="3193" w:type="dxa"/>
            <w:vAlign w:val="center"/>
          </w:tcPr>
          <w:p>
            <w:pPr>
              <w:pStyle w:val="20"/>
            </w:pPr>
            <w:r>
              <w:t>原始数据抄录准确次数占抄录总次数的比率</w:t>
            </w:r>
          </w:p>
        </w:tc>
        <w:tc>
          <w:tcPr>
            <w:tcW w:w="1322" w:type="dxa"/>
            <w:vAlign w:val="center"/>
          </w:tcPr>
          <w:p>
            <w:pPr>
              <w:pStyle w:val="20"/>
            </w:pPr>
            <w:r>
              <w:t>≥95百分比</w:t>
            </w:r>
          </w:p>
        </w:tc>
        <w:tc>
          <w:tcPr>
            <w:tcW w:w="3610" w:type="dxa"/>
            <w:vAlign w:val="center"/>
          </w:tcPr>
          <w:p>
            <w:pPr>
              <w:pStyle w:val="2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1"/>
            </w:pPr>
            <w:r>
              <w:t>满意度指标</w:t>
            </w:r>
          </w:p>
        </w:tc>
        <w:tc>
          <w:tcPr>
            <w:tcW w:w="2000" w:type="dxa"/>
            <w:vAlign w:val="center"/>
          </w:tcPr>
          <w:p>
            <w:pPr>
              <w:pStyle w:val="20"/>
            </w:pPr>
            <w:r>
              <w:t>服务对象满意度指标</w:t>
            </w:r>
          </w:p>
        </w:tc>
        <w:tc>
          <w:tcPr>
            <w:tcW w:w="2205" w:type="dxa"/>
            <w:vAlign w:val="center"/>
          </w:tcPr>
          <w:p>
            <w:pPr>
              <w:pStyle w:val="20"/>
            </w:pPr>
            <w:r>
              <w:t>县委、县政府满意度</w:t>
            </w:r>
          </w:p>
        </w:tc>
        <w:tc>
          <w:tcPr>
            <w:tcW w:w="3193" w:type="dxa"/>
            <w:vAlign w:val="center"/>
          </w:tcPr>
          <w:p>
            <w:pPr>
              <w:pStyle w:val="20"/>
            </w:pPr>
            <w:r>
              <w:t>反映县委、县政府对相关数据统计分析结果的满意度</w:t>
            </w:r>
          </w:p>
        </w:tc>
        <w:tc>
          <w:tcPr>
            <w:tcW w:w="1322" w:type="dxa"/>
            <w:vAlign w:val="center"/>
          </w:tcPr>
          <w:p>
            <w:pPr>
              <w:pStyle w:val="20"/>
            </w:pPr>
            <w:r>
              <w:t>≥95百分比</w:t>
            </w:r>
          </w:p>
        </w:tc>
        <w:tc>
          <w:tcPr>
            <w:tcW w:w="3610" w:type="dxa"/>
            <w:vAlign w:val="center"/>
          </w:tcPr>
          <w:p>
            <w:pPr>
              <w:pStyle w:val="20"/>
            </w:pPr>
            <w:r>
              <w:t>满意度调查问卷</w:t>
            </w:r>
          </w:p>
        </w:tc>
      </w:tr>
    </w:tbl>
    <w:p>
      <w:pPr>
        <w:sectPr>
          <w:pgSz w:w="16840" w:h="11900" w:orient="landscape"/>
          <w:pgMar w:top="1361" w:right="1020" w:bottom="1134" w:left="1020" w:header="720" w:footer="720" w:gutter="0"/>
          <w:cols w:space="720" w:num="1"/>
        </w:sectPr>
      </w:pPr>
    </w:p>
    <w:p>
      <w:pPr>
        <w:pStyle w:val="2"/>
      </w:pPr>
    </w:p>
    <w:p>
      <w:pPr>
        <w:spacing w:line="14" w:lineRule="exact"/>
        <w:ind w:firstLine="420" w:firstLineChars="200"/>
        <w:jc w:val="center"/>
        <w:rPr>
          <w:rFonts w:ascii="Times New Roman" w:hAnsi="Times New Roman" w:eastAsia="仿宋_GB2312" w:cs="Times New Roman"/>
        </w:rPr>
      </w:pPr>
    </w:p>
    <w:p>
      <w:pPr>
        <w:spacing w:before="0" w:after="0"/>
        <w:ind w:firstLine="560"/>
        <w:jc w:val="left"/>
        <w:outlineLvl w:val="9"/>
        <w:rPr>
          <w:rFonts w:ascii="仿宋" w:hAnsi="仿宋" w:eastAsia="仿宋" w:cs="Times New Roman"/>
          <w:sz w:val="28"/>
        </w:rPr>
      </w:pPr>
      <w:r>
        <w:rPr>
          <w:rFonts w:ascii="仿宋" w:hAnsi="仿宋" w:eastAsia="仿宋" w:cs="Times New Roman"/>
          <w:sz w:val="28"/>
        </w:rPr>
        <w:t>2.基本公共服务满意度调查经费绩效目标表</w:t>
      </w:r>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282"/>
        <w:gridCol w:w="851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6282" w:type="dxa"/>
            <w:tcBorders>
              <w:bottom w:val="single" w:color="FFFFFF" w:sz="6" w:space="0"/>
            </w:tcBorders>
            <w:vAlign w:val="center"/>
          </w:tcPr>
          <w:p>
            <w:pPr>
              <w:pStyle w:val="19"/>
            </w:pPr>
            <w:r>
              <w:t>绩效目标</w:t>
            </w:r>
          </w:p>
        </w:tc>
        <w:tc>
          <w:tcPr>
            <w:tcW w:w="8516" w:type="dxa"/>
            <w:tcBorders>
              <w:bottom w:val="single" w:color="FFFFFF" w:sz="6" w:space="0"/>
            </w:tcBorders>
            <w:vAlign w:val="top"/>
          </w:tcPr>
          <w:p>
            <w:pPr>
              <w:pStyle w:val="20"/>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hAnsi="方正书宋_GBK" w:eastAsia="方正书宋_GBK" w:cs="方正书宋_GBK"/>
              </w:rPr>
            </w:pPr>
            <w:r>
              <w:rPr>
                <w:rFonts w:ascii="方正书宋_GBK" w:hAnsi="方正书宋_GBK" w:eastAsia="方正书宋_GBK" w:cs="方正书宋_GBK"/>
              </w:rPr>
              <w:t>1.通过对全县5个镇、高新区、北辰街道范围内的居民开展随机抽样调查，了解政府提供优质服务的努力成效以及人民群众的获得感和满意度。</w:t>
            </w: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ascii="方正书宋_GBK" w:hAnsi="方正书宋_GBK" w:eastAsia="方正书宋_GBK" w:cs="方正书宋_GBK"/>
              </w:rPr>
              <w:t>2.通过对全县5个镇、高新区、北辰街道范围内的1000个居民开展随机抽样调查2次，发现政府在基本公共服务方面存在的不足，以利于提升工作有效性，提升置信度和群众满意度。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6"/>
        <w:gridCol w:w="1950"/>
        <w:gridCol w:w="2565"/>
        <w:gridCol w:w="2565"/>
        <w:gridCol w:w="1485"/>
        <w:gridCol w:w="4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66" w:type="dxa"/>
            <w:vAlign w:val="center"/>
          </w:tcPr>
          <w:p>
            <w:pPr>
              <w:pStyle w:val="19"/>
            </w:pPr>
            <w:r>
              <w:t>一级指标</w:t>
            </w:r>
          </w:p>
        </w:tc>
        <w:tc>
          <w:tcPr>
            <w:tcW w:w="1950" w:type="dxa"/>
            <w:vAlign w:val="center"/>
          </w:tcPr>
          <w:p>
            <w:pPr>
              <w:pStyle w:val="19"/>
            </w:pPr>
            <w:r>
              <w:t>二级指标</w:t>
            </w:r>
          </w:p>
        </w:tc>
        <w:tc>
          <w:tcPr>
            <w:tcW w:w="2565" w:type="dxa"/>
            <w:vAlign w:val="center"/>
          </w:tcPr>
          <w:p>
            <w:pPr>
              <w:pStyle w:val="19"/>
            </w:pPr>
            <w:r>
              <w:t>三级指标</w:t>
            </w:r>
          </w:p>
        </w:tc>
        <w:tc>
          <w:tcPr>
            <w:tcW w:w="2565" w:type="dxa"/>
            <w:vAlign w:val="center"/>
          </w:tcPr>
          <w:p>
            <w:pPr>
              <w:pStyle w:val="19"/>
            </w:pPr>
            <w:r>
              <w:t>绩效指标描述</w:t>
            </w:r>
          </w:p>
        </w:tc>
        <w:tc>
          <w:tcPr>
            <w:tcW w:w="1485" w:type="dxa"/>
            <w:vAlign w:val="center"/>
          </w:tcPr>
          <w:p>
            <w:pPr>
              <w:pStyle w:val="19"/>
            </w:pPr>
            <w:r>
              <w:t>指标值</w:t>
            </w:r>
          </w:p>
        </w:tc>
        <w:tc>
          <w:tcPr>
            <w:tcW w:w="4465"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Merge w:val="restart"/>
            <w:vAlign w:val="center"/>
          </w:tcPr>
          <w:p>
            <w:pPr>
              <w:pStyle w:val="21"/>
            </w:pPr>
            <w:r>
              <w:t>产出指标</w:t>
            </w:r>
          </w:p>
        </w:tc>
        <w:tc>
          <w:tcPr>
            <w:tcW w:w="1950" w:type="dxa"/>
            <w:vAlign w:val="center"/>
          </w:tcPr>
          <w:p>
            <w:pPr>
              <w:pStyle w:val="20"/>
            </w:pPr>
            <w:r>
              <w:t>数量指标</w:t>
            </w:r>
          </w:p>
        </w:tc>
        <w:tc>
          <w:tcPr>
            <w:tcW w:w="2565" w:type="dxa"/>
            <w:vAlign w:val="center"/>
          </w:tcPr>
          <w:p>
            <w:pPr>
              <w:pStyle w:val="20"/>
            </w:pPr>
            <w:r>
              <w:t>调查样本数量</w:t>
            </w:r>
          </w:p>
        </w:tc>
        <w:tc>
          <w:tcPr>
            <w:tcW w:w="2565" w:type="dxa"/>
            <w:vAlign w:val="center"/>
          </w:tcPr>
          <w:p>
            <w:pPr>
              <w:pStyle w:val="20"/>
            </w:pPr>
            <w:r>
              <w:t>满意度调查样本数量</w:t>
            </w:r>
          </w:p>
        </w:tc>
        <w:tc>
          <w:tcPr>
            <w:tcW w:w="1485" w:type="dxa"/>
            <w:vAlign w:val="center"/>
          </w:tcPr>
          <w:p>
            <w:pPr>
              <w:pStyle w:val="20"/>
            </w:pPr>
            <w:r>
              <w:t>1000个</w:t>
            </w:r>
          </w:p>
        </w:tc>
        <w:tc>
          <w:tcPr>
            <w:tcW w:w="4465" w:type="dxa"/>
            <w:vAlign w:val="center"/>
          </w:tcPr>
          <w:p>
            <w:pPr>
              <w:pStyle w:val="20"/>
            </w:pPr>
            <w:r>
              <w:rPr>
                <w:rFonts w:ascii="方正书宋_GBK" w:hAnsi="方正书宋_GBK" w:eastAsia="方正书宋_GBK" w:cs="方正书宋_GBK"/>
              </w:rPr>
              <w:t>《大厂回族自治县2020年基本公共服务满意度调查方案》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Merge w:val="continue"/>
            <w:vAlign w:val="center"/>
          </w:tcPr>
          <w:p/>
        </w:tc>
        <w:tc>
          <w:tcPr>
            <w:tcW w:w="1950" w:type="dxa"/>
            <w:vAlign w:val="center"/>
          </w:tcPr>
          <w:p>
            <w:pPr>
              <w:pStyle w:val="20"/>
            </w:pPr>
            <w:r>
              <w:t>数量指标</w:t>
            </w:r>
          </w:p>
        </w:tc>
        <w:tc>
          <w:tcPr>
            <w:tcW w:w="2565" w:type="dxa"/>
            <w:vAlign w:val="center"/>
          </w:tcPr>
          <w:p>
            <w:pPr>
              <w:pStyle w:val="20"/>
            </w:pPr>
            <w:r>
              <w:t>调查频次</w:t>
            </w:r>
          </w:p>
        </w:tc>
        <w:tc>
          <w:tcPr>
            <w:tcW w:w="2565" w:type="dxa"/>
            <w:vAlign w:val="center"/>
          </w:tcPr>
          <w:p>
            <w:pPr>
              <w:pStyle w:val="20"/>
            </w:pPr>
            <w:r>
              <w:t>满意度调查频次</w:t>
            </w:r>
          </w:p>
        </w:tc>
        <w:tc>
          <w:tcPr>
            <w:tcW w:w="1485" w:type="dxa"/>
            <w:vAlign w:val="center"/>
          </w:tcPr>
          <w:p>
            <w:pPr>
              <w:pStyle w:val="20"/>
            </w:pPr>
            <w:r>
              <w:t>2次</w:t>
            </w:r>
          </w:p>
        </w:tc>
        <w:tc>
          <w:tcPr>
            <w:tcW w:w="4465" w:type="dxa"/>
            <w:vAlign w:val="center"/>
          </w:tcPr>
          <w:p>
            <w:pPr>
              <w:pStyle w:val="20"/>
            </w:pPr>
            <w:r>
              <w:t>《大厂回族自治县2020年基本公共服务满意度调查方案》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Merge w:val="continue"/>
            <w:vAlign w:val="center"/>
          </w:tcPr>
          <w:p/>
        </w:tc>
        <w:tc>
          <w:tcPr>
            <w:tcW w:w="1950" w:type="dxa"/>
            <w:vAlign w:val="center"/>
          </w:tcPr>
          <w:p>
            <w:pPr>
              <w:pStyle w:val="20"/>
            </w:pPr>
            <w:r>
              <w:t>质量指标</w:t>
            </w:r>
          </w:p>
        </w:tc>
        <w:tc>
          <w:tcPr>
            <w:tcW w:w="2565" w:type="dxa"/>
            <w:vAlign w:val="center"/>
          </w:tcPr>
          <w:p>
            <w:pPr>
              <w:pStyle w:val="20"/>
            </w:pPr>
            <w:r>
              <w:t>调查数据有效率</w:t>
            </w:r>
          </w:p>
        </w:tc>
        <w:tc>
          <w:tcPr>
            <w:tcW w:w="2565" w:type="dxa"/>
            <w:vAlign w:val="center"/>
          </w:tcPr>
          <w:p>
            <w:pPr>
              <w:pStyle w:val="20"/>
            </w:pPr>
            <w:r>
              <w:t>调查数据有效率</w:t>
            </w:r>
          </w:p>
        </w:tc>
        <w:tc>
          <w:tcPr>
            <w:tcW w:w="1485" w:type="dxa"/>
            <w:vAlign w:val="center"/>
          </w:tcPr>
          <w:p>
            <w:pPr>
              <w:pStyle w:val="20"/>
            </w:pPr>
            <w:r>
              <w:t>≥98%</w:t>
            </w:r>
          </w:p>
        </w:tc>
        <w:tc>
          <w:tcPr>
            <w:tcW w:w="4465" w:type="dxa"/>
            <w:vAlign w:val="center"/>
          </w:tcPr>
          <w:p>
            <w:pPr>
              <w:pStyle w:val="20"/>
            </w:pPr>
            <w:r>
              <w:t>《大厂回族自治县2020年基本公共服务满意度调查方案》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Merge w:val="continue"/>
            <w:vAlign w:val="center"/>
          </w:tcPr>
          <w:p/>
        </w:tc>
        <w:tc>
          <w:tcPr>
            <w:tcW w:w="1950" w:type="dxa"/>
            <w:vAlign w:val="center"/>
          </w:tcPr>
          <w:p>
            <w:pPr>
              <w:pStyle w:val="20"/>
            </w:pPr>
            <w:r>
              <w:t>时效指标</w:t>
            </w:r>
          </w:p>
        </w:tc>
        <w:tc>
          <w:tcPr>
            <w:tcW w:w="2565" w:type="dxa"/>
            <w:vAlign w:val="center"/>
          </w:tcPr>
          <w:p>
            <w:pPr>
              <w:pStyle w:val="20"/>
            </w:pPr>
            <w:r>
              <w:t>调查完成时间</w:t>
            </w:r>
          </w:p>
        </w:tc>
        <w:tc>
          <w:tcPr>
            <w:tcW w:w="2565" w:type="dxa"/>
            <w:vAlign w:val="center"/>
          </w:tcPr>
          <w:p>
            <w:pPr>
              <w:pStyle w:val="20"/>
            </w:pPr>
            <w:r>
              <w:t>调查完成截止时间</w:t>
            </w:r>
          </w:p>
        </w:tc>
        <w:tc>
          <w:tcPr>
            <w:tcW w:w="1485" w:type="dxa"/>
            <w:vAlign w:val="center"/>
          </w:tcPr>
          <w:p>
            <w:pPr>
              <w:pStyle w:val="20"/>
            </w:pPr>
            <w:r>
              <w:t>≤10月份</w:t>
            </w:r>
          </w:p>
        </w:tc>
        <w:tc>
          <w:tcPr>
            <w:tcW w:w="4465" w:type="dxa"/>
            <w:vAlign w:val="center"/>
          </w:tcPr>
          <w:p>
            <w:pPr>
              <w:pStyle w:val="20"/>
            </w:pPr>
            <w:r>
              <w:t>《大厂回族自治县2020年基本公共服务满意度调查方案》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Merge w:val="continue"/>
            <w:vAlign w:val="center"/>
          </w:tcPr>
          <w:p/>
        </w:tc>
        <w:tc>
          <w:tcPr>
            <w:tcW w:w="1950" w:type="dxa"/>
            <w:vAlign w:val="center"/>
          </w:tcPr>
          <w:p>
            <w:pPr>
              <w:pStyle w:val="20"/>
            </w:pPr>
            <w:r>
              <w:t>成本指标</w:t>
            </w:r>
          </w:p>
        </w:tc>
        <w:tc>
          <w:tcPr>
            <w:tcW w:w="2565" w:type="dxa"/>
            <w:vAlign w:val="center"/>
          </w:tcPr>
          <w:p>
            <w:pPr>
              <w:pStyle w:val="20"/>
            </w:pPr>
            <w:r>
              <w:t>成本控制率</w:t>
            </w:r>
          </w:p>
        </w:tc>
        <w:tc>
          <w:tcPr>
            <w:tcW w:w="2565" w:type="dxa"/>
            <w:vAlign w:val="center"/>
          </w:tcPr>
          <w:p>
            <w:pPr>
              <w:pStyle w:val="20"/>
            </w:pPr>
            <w:r>
              <w:t>反映项目成本控制的基本情况</w:t>
            </w:r>
          </w:p>
        </w:tc>
        <w:tc>
          <w:tcPr>
            <w:tcW w:w="1485" w:type="dxa"/>
            <w:vAlign w:val="center"/>
          </w:tcPr>
          <w:p>
            <w:pPr>
              <w:pStyle w:val="20"/>
            </w:pPr>
            <w:r>
              <w:t>100%</w:t>
            </w:r>
          </w:p>
        </w:tc>
        <w:tc>
          <w:tcPr>
            <w:tcW w:w="4465" w:type="dxa"/>
            <w:vAlign w:val="center"/>
          </w:tcPr>
          <w:p>
            <w:pPr>
              <w:pStyle w:val="20"/>
            </w:pPr>
            <w:r>
              <w:t>《大厂回族自治县2020年基本公共服务满意度调查方案》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Merge w:val="restart"/>
            <w:vAlign w:val="center"/>
          </w:tcPr>
          <w:p>
            <w:pPr>
              <w:pStyle w:val="21"/>
            </w:pPr>
            <w:r>
              <w:t>效益指标</w:t>
            </w:r>
          </w:p>
        </w:tc>
        <w:tc>
          <w:tcPr>
            <w:tcW w:w="1950" w:type="dxa"/>
            <w:vAlign w:val="center"/>
          </w:tcPr>
          <w:p>
            <w:pPr>
              <w:pStyle w:val="20"/>
            </w:pPr>
            <w:r>
              <w:t>社会效益指标</w:t>
            </w:r>
          </w:p>
        </w:tc>
        <w:tc>
          <w:tcPr>
            <w:tcW w:w="2565" w:type="dxa"/>
            <w:vAlign w:val="center"/>
          </w:tcPr>
          <w:p>
            <w:pPr>
              <w:pStyle w:val="20"/>
            </w:pPr>
            <w:r>
              <w:t>置信度</w:t>
            </w:r>
          </w:p>
        </w:tc>
        <w:tc>
          <w:tcPr>
            <w:tcW w:w="2565" w:type="dxa"/>
            <w:vAlign w:val="center"/>
          </w:tcPr>
          <w:p>
            <w:pPr>
              <w:pStyle w:val="20"/>
            </w:pPr>
            <w:r>
              <w:t>反映置信度调查结果情况</w:t>
            </w:r>
          </w:p>
        </w:tc>
        <w:tc>
          <w:tcPr>
            <w:tcW w:w="1485" w:type="dxa"/>
            <w:vAlign w:val="center"/>
          </w:tcPr>
          <w:p>
            <w:pPr>
              <w:pStyle w:val="20"/>
            </w:pPr>
            <w:r>
              <w:t>≥95%</w:t>
            </w:r>
          </w:p>
        </w:tc>
        <w:tc>
          <w:tcPr>
            <w:tcW w:w="4465" w:type="dxa"/>
            <w:vAlign w:val="center"/>
          </w:tcPr>
          <w:p>
            <w:pPr>
              <w:pStyle w:val="20"/>
            </w:pPr>
            <w:r>
              <w:t>《大厂回族自治县2020年基本公共服务满意度调查方案》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Merge w:val="continue"/>
            <w:vAlign w:val="center"/>
          </w:tcPr>
          <w:p/>
        </w:tc>
        <w:tc>
          <w:tcPr>
            <w:tcW w:w="1950" w:type="dxa"/>
            <w:vAlign w:val="center"/>
          </w:tcPr>
          <w:p>
            <w:pPr>
              <w:pStyle w:val="20"/>
            </w:pPr>
            <w:r>
              <w:t>可持续影响指标</w:t>
            </w:r>
          </w:p>
        </w:tc>
        <w:tc>
          <w:tcPr>
            <w:tcW w:w="2565" w:type="dxa"/>
            <w:vAlign w:val="center"/>
          </w:tcPr>
          <w:p>
            <w:pPr>
              <w:pStyle w:val="20"/>
            </w:pPr>
            <w:r>
              <w:t>提升基本公共服务质量</w:t>
            </w:r>
          </w:p>
        </w:tc>
        <w:tc>
          <w:tcPr>
            <w:tcW w:w="2565" w:type="dxa"/>
            <w:vAlign w:val="center"/>
          </w:tcPr>
          <w:p>
            <w:pPr>
              <w:pStyle w:val="20"/>
            </w:pPr>
            <w:r>
              <w:t>提升基本公共服务质量</w:t>
            </w:r>
          </w:p>
        </w:tc>
        <w:tc>
          <w:tcPr>
            <w:tcW w:w="1485" w:type="dxa"/>
            <w:vAlign w:val="center"/>
          </w:tcPr>
          <w:p>
            <w:pPr>
              <w:pStyle w:val="20"/>
            </w:pPr>
            <w:r>
              <w:t>显著</w:t>
            </w:r>
          </w:p>
        </w:tc>
        <w:tc>
          <w:tcPr>
            <w:tcW w:w="4465" w:type="dxa"/>
            <w:vAlign w:val="center"/>
          </w:tcPr>
          <w:p>
            <w:pPr>
              <w:pStyle w:val="2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Align w:val="center"/>
          </w:tcPr>
          <w:p>
            <w:pPr>
              <w:pStyle w:val="21"/>
            </w:pPr>
            <w:r>
              <w:t>满意度指标</w:t>
            </w:r>
          </w:p>
        </w:tc>
        <w:tc>
          <w:tcPr>
            <w:tcW w:w="1950" w:type="dxa"/>
            <w:vAlign w:val="center"/>
          </w:tcPr>
          <w:p>
            <w:pPr>
              <w:pStyle w:val="20"/>
            </w:pPr>
            <w:r>
              <w:t>服务对象满意度指标</w:t>
            </w:r>
          </w:p>
        </w:tc>
        <w:tc>
          <w:tcPr>
            <w:tcW w:w="2565" w:type="dxa"/>
            <w:vAlign w:val="center"/>
          </w:tcPr>
          <w:p>
            <w:pPr>
              <w:pStyle w:val="20"/>
            </w:pPr>
            <w:r>
              <w:t>综合满意度</w:t>
            </w:r>
          </w:p>
        </w:tc>
        <w:tc>
          <w:tcPr>
            <w:tcW w:w="2565" w:type="dxa"/>
            <w:vAlign w:val="center"/>
          </w:tcPr>
          <w:p>
            <w:pPr>
              <w:pStyle w:val="20"/>
            </w:pPr>
            <w:r>
              <w:t>反映群众调查结果情况满意度</w:t>
            </w:r>
          </w:p>
        </w:tc>
        <w:tc>
          <w:tcPr>
            <w:tcW w:w="1485" w:type="dxa"/>
            <w:vAlign w:val="center"/>
          </w:tcPr>
          <w:p>
            <w:pPr>
              <w:pStyle w:val="20"/>
            </w:pPr>
            <w:r>
              <w:t>≥95%</w:t>
            </w:r>
          </w:p>
        </w:tc>
        <w:tc>
          <w:tcPr>
            <w:tcW w:w="4465" w:type="dxa"/>
            <w:vAlign w:val="center"/>
          </w:tcPr>
          <w:p>
            <w:pPr>
              <w:pStyle w:val="20"/>
            </w:pPr>
            <w:r>
              <w:t>问卷调查</w:t>
            </w:r>
          </w:p>
        </w:tc>
      </w:tr>
    </w:tbl>
    <w:p>
      <w:pPr>
        <w:spacing w:before="0" w:after="0"/>
        <w:jc w:val="left"/>
        <w:outlineLvl w:val="9"/>
        <w:rPr>
          <w:rFonts w:hint="eastAsia" w:ascii="仿宋" w:hAnsi="仿宋" w:eastAsia="仿宋" w:cs="Times New Roman"/>
          <w:sz w:val="28"/>
          <w:lang w:val="en-US" w:eastAsia="zh-CN"/>
        </w:rPr>
      </w:pPr>
    </w:p>
    <w:p>
      <w:pPr>
        <w:pStyle w:val="2"/>
        <w:rPr>
          <w:rFonts w:hint="eastAsia"/>
          <w:lang w:val="en-US" w:eastAsia="zh-CN"/>
        </w:rPr>
      </w:pPr>
    </w:p>
    <w:p>
      <w:pPr>
        <w:spacing w:before="0" w:after="0"/>
        <w:ind w:firstLine="560"/>
        <w:jc w:val="left"/>
        <w:outlineLvl w:val="9"/>
      </w:pPr>
      <w:r>
        <w:rPr>
          <w:rFonts w:hint="eastAsia" w:ascii="仿宋" w:hAnsi="仿宋" w:eastAsia="仿宋" w:cs="Times New Roman"/>
          <w:sz w:val="28"/>
          <w:lang w:val="en-US" w:eastAsia="zh-CN"/>
        </w:rPr>
        <w:t>3</w:t>
      </w:r>
      <w:r>
        <w:rPr>
          <w:rFonts w:ascii="仿宋" w:hAnsi="仿宋" w:eastAsia="仿宋" w:cs="Times New Roman"/>
          <w:sz w:val="28"/>
        </w:rPr>
        <w:t>.</w:t>
      </w:r>
      <w:r>
        <w:rPr>
          <w:rFonts w:hint="eastAsia" w:ascii="仿宋" w:hAnsi="仿宋" w:eastAsia="仿宋" w:cs="Times New Roman"/>
          <w:sz w:val="28"/>
          <w:lang w:val="en-US" w:eastAsia="zh-CN"/>
        </w:rPr>
        <w:t>其他专业技术服务经费绩效目标表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9"/>
            </w:pPr>
            <w:r>
              <w:t>绩效目标</w:t>
            </w:r>
          </w:p>
        </w:tc>
        <w:tc>
          <w:tcPr>
            <w:tcW w:w="7399" w:type="dxa"/>
            <w:tcBorders>
              <w:bottom w:val="single" w:color="FFFFFF" w:sz="6" w:space="0"/>
            </w:tcBorders>
            <w:vAlign w:val="center"/>
          </w:tcPr>
          <w:p>
            <w:pPr>
              <w:pStyle w:val="20"/>
            </w:pPr>
            <w:r>
              <w:t>1.提升办公室计算机网络程序运行效果，使工作人员有效地完成工作。</w:t>
            </w:r>
          </w:p>
          <w:p>
            <w:pPr>
              <w:pStyle w:val="20"/>
            </w:pPr>
            <w:r>
              <w:t>2.通过政府采购形式购买服务人员4名，保障办公室计算机网络程序工作的正常运转和普查工作的开展。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1"/>
        <w:gridCol w:w="2115"/>
        <w:gridCol w:w="2310"/>
        <w:gridCol w:w="326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71" w:type="dxa"/>
            <w:vAlign w:val="center"/>
          </w:tcPr>
          <w:p>
            <w:pPr>
              <w:pStyle w:val="19"/>
            </w:pPr>
            <w:r>
              <w:t>一级指标</w:t>
            </w:r>
          </w:p>
        </w:tc>
        <w:tc>
          <w:tcPr>
            <w:tcW w:w="2115" w:type="dxa"/>
            <w:vAlign w:val="center"/>
          </w:tcPr>
          <w:p>
            <w:pPr>
              <w:pStyle w:val="19"/>
            </w:pPr>
            <w:r>
              <w:t>二级指标</w:t>
            </w:r>
          </w:p>
        </w:tc>
        <w:tc>
          <w:tcPr>
            <w:tcW w:w="2310" w:type="dxa"/>
            <w:vAlign w:val="center"/>
          </w:tcPr>
          <w:p>
            <w:pPr>
              <w:pStyle w:val="19"/>
            </w:pPr>
            <w:r>
              <w:t>三级指标</w:t>
            </w:r>
          </w:p>
        </w:tc>
        <w:tc>
          <w:tcPr>
            <w:tcW w:w="3268" w:type="dxa"/>
            <w:vAlign w:val="center"/>
          </w:tcPr>
          <w:p>
            <w:pPr>
              <w:pStyle w:val="19"/>
            </w:pPr>
            <w:r>
              <w:t>绩效指标描述</w:t>
            </w:r>
          </w:p>
        </w:tc>
        <w:tc>
          <w:tcPr>
            <w:tcW w:w="2466" w:type="dxa"/>
            <w:vAlign w:val="center"/>
          </w:tcPr>
          <w:p>
            <w:pPr>
              <w:pStyle w:val="19"/>
            </w:pPr>
            <w:r>
              <w:t>指标值</w:t>
            </w:r>
          </w:p>
        </w:tc>
        <w:tc>
          <w:tcPr>
            <w:tcW w:w="2466"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71" w:type="dxa"/>
            <w:vMerge w:val="restart"/>
            <w:vAlign w:val="center"/>
          </w:tcPr>
          <w:p>
            <w:pPr>
              <w:pStyle w:val="21"/>
            </w:pPr>
            <w:r>
              <w:t>产出指标</w:t>
            </w:r>
          </w:p>
        </w:tc>
        <w:tc>
          <w:tcPr>
            <w:tcW w:w="2115" w:type="dxa"/>
            <w:vAlign w:val="center"/>
          </w:tcPr>
          <w:p>
            <w:pPr>
              <w:pStyle w:val="20"/>
            </w:pPr>
            <w:r>
              <w:t>数量指标</w:t>
            </w:r>
          </w:p>
        </w:tc>
        <w:tc>
          <w:tcPr>
            <w:tcW w:w="2310" w:type="dxa"/>
            <w:vAlign w:val="center"/>
          </w:tcPr>
          <w:p>
            <w:pPr>
              <w:pStyle w:val="20"/>
            </w:pPr>
            <w:r>
              <w:t>政府采购服务</w:t>
            </w:r>
          </w:p>
        </w:tc>
        <w:tc>
          <w:tcPr>
            <w:tcW w:w="3268" w:type="dxa"/>
            <w:vAlign w:val="center"/>
          </w:tcPr>
          <w:p>
            <w:pPr>
              <w:pStyle w:val="20"/>
            </w:pPr>
            <w:r>
              <w:t>反映以政府采购服务形式，完成服务的人数</w:t>
            </w:r>
          </w:p>
        </w:tc>
        <w:tc>
          <w:tcPr>
            <w:tcW w:w="2466" w:type="dxa"/>
            <w:vAlign w:val="center"/>
          </w:tcPr>
          <w:p>
            <w:pPr>
              <w:pStyle w:val="20"/>
            </w:pPr>
            <w:r>
              <w:t>4人</w:t>
            </w:r>
          </w:p>
        </w:tc>
        <w:tc>
          <w:tcPr>
            <w:tcW w:w="2466" w:type="dxa"/>
            <w:vAlign w:val="center"/>
          </w:tcPr>
          <w:p>
            <w:pPr>
              <w:pStyle w:val="20"/>
            </w:pPr>
            <w:r>
              <w:t>根据工作需求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71" w:type="dxa"/>
            <w:vMerge w:val="continue"/>
            <w:vAlign w:val="center"/>
          </w:tcPr>
          <w:p/>
        </w:tc>
        <w:tc>
          <w:tcPr>
            <w:tcW w:w="2115" w:type="dxa"/>
            <w:vAlign w:val="center"/>
          </w:tcPr>
          <w:p>
            <w:pPr>
              <w:pStyle w:val="20"/>
            </w:pPr>
            <w:r>
              <w:t>质量指标</w:t>
            </w:r>
          </w:p>
        </w:tc>
        <w:tc>
          <w:tcPr>
            <w:tcW w:w="2310" w:type="dxa"/>
            <w:vAlign w:val="center"/>
          </w:tcPr>
          <w:p>
            <w:pPr>
              <w:pStyle w:val="20"/>
            </w:pPr>
            <w:r>
              <w:t>出勤率</w:t>
            </w:r>
          </w:p>
        </w:tc>
        <w:tc>
          <w:tcPr>
            <w:tcW w:w="3268" w:type="dxa"/>
            <w:vAlign w:val="center"/>
          </w:tcPr>
          <w:p>
            <w:pPr>
              <w:pStyle w:val="20"/>
            </w:pPr>
            <w:r>
              <w:t>反映服务人员实际出勤天数占总天数的比率</w:t>
            </w:r>
          </w:p>
        </w:tc>
        <w:tc>
          <w:tcPr>
            <w:tcW w:w="2466" w:type="dxa"/>
            <w:vAlign w:val="center"/>
          </w:tcPr>
          <w:p>
            <w:pPr>
              <w:pStyle w:val="20"/>
            </w:pPr>
            <w:r>
              <w:t>100百分比</w:t>
            </w:r>
          </w:p>
        </w:tc>
        <w:tc>
          <w:tcPr>
            <w:tcW w:w="2466" w:type="dxa"/>
            <w:vAlign w:val="center"/>
          </w:tcPr>
          <w:p>
            <w:pPr>
              <w:pStyle w:val="2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71" w:type="dxa"/>
            <w:vMerge w:val="continue"/>
            <w:vAlign w:val="center"/>
          </w:tcPr>
          <w:p/>
        </w:tc>
        <w:tc>
          <w:tcPr>
            <w:tcW w:w="2115" w:type="dxa"/>
            <w:vAlign w:val="center"/>
          </w:tcPr>
          <w:p>
            <w:pPr>
              <w:pStyle w:val="20"/>
            </w:pPr>
            <w:r>
              <w:t>时效指标</w:t>
            </w:r>
          </w:p>
        </w:tc>
        <w:tc>
          <w:tcPr>
            <w:tcW w:w="2310" w:type="dxa"/>
            <w:vAlign w:val="center"/>
          </w:tcPr>
          <w:p>
            <w:pPr>
              <w:pStyle w:val="20"/>
            </w:pPr>
            <w:r>
              <w:t>发放及时率</w:t>
            </w:r>
          </w:p>
        </w:tc>
        <w:tc>
          <w:tcPr>
            <w:tcW w:w="3268" w:type="dxa"/>
            <w:vAlign w:val="center"/>
          </w:tcPr>
          <w:p>
            <w:pPr>
              <w:pStyle w:val="20"/>
            </w:pPr>
            <w:r>
              <w:t>反映按时按月支付相关服务费用的情况</w:t>
            </w:r>
          </w:p>
        </w:tc>
        <w:tc>
          <w:tcPr>
            <w:tcW w:w="2466" w:type="dxa"/>
            <w:vAlign w:val="center"/>
          </w:tcPr>
          <w:p>
            <w:pPr>
              <w:pStyle w:val="20"/>
            </w:pPr>
            <w:r>
              <w:t>12月</w:t>
            </w:r>
          </w:p>
        </w:tc>
        <w:tc>
          <w:tcPr>
            <w:tcW w:w="2466"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71" w:type="dxa"/>
            <w:vMerge w:val="continue"/>
            <w:vAlign w:val="center"/>
          </w:tcPr>
          <w:p/>
        </w:tc>
        <w:tc>
          <w:tcPr>
            <w:tcW w:w="2115" w:type="dxa"/>
            <w:vAlign w:val="center"/>
          </w:tcPr>
          <w:p>
            <w:pPr>
              <w:pStyle w:val="20"/>
            </w:pPr>
            <w:r>
              <w:t>成本指标</w:t>
            </w:r>
          </w:p>
        </w:tc>
        <w:tc>
          <w:tcPr>
            <w:tcW w:w="2310" w:type="dxa"/>
            <w:vAlign w:val="center"/>
          </w:tcPr>
          <w:p>
            <w:pPr>
              <w:pStyle w:val="20"/>
            </w:pPr>
            <w:r>
              <w:t>成本控制率</w:t>
            </w:r>
          </w:p>
        </w:tc>
        <w:tc>
          <w:tcPr>
            <w:tcW w:w="3268" w:type="dxa"/>
            <w:vAlign w:val="center"/>
          </w:tcPr>
          <w:p>
            <w:pPr>
              <w:pStyle w:val="20"/>
            </w:pPr>
            <w:r>
              <w:t>反映支付费用的控制情况</w:t>
            </w:r>
          </w:p>
        </w:tc>
        <w:tc>
          <w:tcPr>
            <w:tcW w:w="2466" w:type="dxa"/>
            <w:vAlign w:val="center"/>
          </w:tcPr>
          <w:p>
            <w:pPr>
              <w:pStyle w:val="20"/>
            </w:pPr>
            <w:r>
              <w:t>100百分比</w:t>
            </w:r>
          </w:p>
        </w:tc>
        <w:tc>
          <w:tcPr>
            <w:tcW w:w="2466" w:type="dxa"/>
            <w:vAlign w:val="center"/>
          </w:tcPr>
          <w:p>
            <w:pPr>
              <w:pStyle w:val="20"/>
            </w:pPr>
            <w:r>
              <w:t>预算明细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3" w:hRule="atLeast"/>
          <w:jc w:val="center"/>
        </w:trPr>
        <w:tc>
          <w:tcPr>
            <w:tcW w:w="2171" w:type="dxa"/>
            <w:vAlign w:val="center"/>
          </w:tcPr>
          <w:p>
            <w:pPr>
              <w:pStyle w:val="21"/>
            </w:pPr>
            <w:r>
              <w:t>效益指标</w:t>
            </w:r>
          </w:p>
        </w:tc>
        <w:tc>
          <w:tcPr>
            <w:tcW w:w="2115" w:type="dxa"/>
            <w:vAlign w:val="center"/>
          </w:tcPr>
          <w:p>
            <w:pPr>
              <w:pStyle w:val="20"/>
            </w:pPr>
            <w:r>
              <w:t>社会效益指标</w:t>
            </w:r>
          </w:p>
        </w:tc>
        <w:tc>
          <w:tcPr>
            <w:tcW w:w="2310" w:type="dxa"/>
            <w:vAlign w:val="center"/>
          </w:tcPr>
          <w:p>
            <w:pPr>
              <w:pStyle w:val="20"/>
            </w:pPr>
            <w:r>
              <w:t>网络运转正常天数</w:t>
            </w:r>
          </w:p>
        </w:tc>
        <w:tc>
          <w:tcPr>
            <w:tcW w:w="3268" w:type="dxa"/>
            <w:vAlign w:val="center"/>
          </w:tcPr>
          <w:p>
            <w:pPr>
              <w:pStyle w:val="20"/>
            </w:pPr>
            <w:r>
              <w:t>反映网络工作运行正常天数/全年运转天数</w:t>
            </w:r>
          </w:p>
        </w:tc>
        <w:tc>
          <w:tcPr>
            <w:tcW w:w="2466" w:type="dxa"/>
            <w:vAlign w:val="center"/>
          </w:tcPr>
          <w:p>
            <w:pPr>
              <w:pStyle w:val="20"/>
            </w:pPr>
            <w:r>
              <w:t>100百分比</w:t>
            </w:r>
          </w:p>
        </w:tc>
        <w:tc>
          <w:tcPr>
            <w:tcW w:w="2466" w:type="dxa"/>
            <w:vAlign w:val="center"/>
          </w:tcPr>
          <w:p>
            <w:pPr>
              <w:pStyle w:val="20"/>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71" w:type="dxa"/>
            <w:vAlign w:val="center"/>
          </w:tcPr>
          <w:p>
            <w:pPr>
              <w:pStyle w:val="21"/>
            </w:pPr>
            <w:r>
              <w:t>满意度指标</w:t>
            </w:r>
          </w:p>
        </w:tc>
        <w:tc>
          <w:tcPr>
            <w:tcW w:w="2115" w:type="dxa"/>
            <w:vAlign w:val="center"/>
          </w:tcPr>
          <w:p>
            <w:pPr>
              <w:pStyle w:val="20"/>
            </w:pPr>
            <w:r>
              <w:t>服务对象满意度指标</w:t>
            </w:r>
          </w:p>
        </w:tc>
        <w:tc>
          <w:tcPr>
            <w:tcW w:w="2310" w:type="dxa"/>
            <w:vAlign w:val="center"/>
          </w:tcPr>
          <w:p>
            <w:pPr>
              <w:pStyle w:val="20"/>
            </w:pPr>
            <w:r>
              <w:t>部门满意度</w:t>
            </w:r>
          </w:p>
        </w:tc>
        <w:tc>
          <w:tcPr>
            <w:tcW w:w="3268" w:type="dxa"/>
            <w:vAlign w:val="center"/>
          </w:tcPr>
          <w:p>
            <w:pPr>
              <w:pStyle w:val="20"/>
            </w:pPr>
            <w:r>
              <w:rPr>
                <w:kern w:val="0"/>
                <w:szCs w:val="24"/>
                <w:lang w:eastAsia="uk-UA"/>
              </w:rPr>
              <w:t>反映部门单位对相关服务的满意度情况</w:t>
            </w:r>
          </w:p>
        </w:tc>
        <w:tc>
          <w:tcPr>
            <w:tcW w:w="2466" w:type="dxa"/>
            <w:vAlign w:val="center"/>
          </w:tcPr>
          <w:p>
            <w:pPr>
              <w:pStyle w:val="20"/>
            </w:pPr>
            <w:r>
              <w:t>≥95百分比</w:t>
            </w:r>
          </w:p>
        </w:tc>
        <w:tc>
          <w:tcPr>
            <w:tcW w:w="2466" w:type="dxa"/>
            <w:vAlign w:val="center"/>
          </w:tcPr>
          <w:p>
            <w:pPr>
              <w:pStyle w:val="20"/>
            </w:pPr>
            <w: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年，我部门安排政府采购预算</w:t>
      </w:r>
      <w:r>
        <w:rPr>
          <w:rFonts w:hint="eastAsia" w:ascii="仿宋" w:hAnsi="仿宋" w:eastAsia="仿宋" w:cs="Times New Roman"/>
          <w:sz w:val="32"/>
          <w:szCs w:val="24"/>
          <w:lang w:val="en-US" w:eastAsia="zh-CN"/>
        </w:rPr>
        <w:t>0</w:t>
      </w:r>
      <w:r>
        <w:rPr>
          <w:rFonts w:ascii="仿宋" w:hAnsi="仿宋" w:eastAsia="仿宋"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rPr>
              <w:t>大厂回族自治县</w:t>
            </w:r>
            <w:r>
              <w:rPr>
                <w:rFonts w:hint="eastAsia" w:ascii="方正小标宋_GBK" w:eastAsia="方正小标宋_GBK"/>
                <w:sz w:val="24"/>
                <w:lang w:eastAsia="zh-CN"/>
              </w:rPr>
              <w:t>统计局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hint="eastAsia" w:ascii="Times New Roman" w:hAnsi="Times New Roman" w:eastAsia="仿宋_GB2312" w:cs="Times New Roman"/>
          <w:highlight w:val="none"/>
          <w:lang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highlight w:val="none"/>
        </w:rPr>
        <w:t>注:空表列示</w:t>
      </w:r>
      <w:r>
        <w:rPr>
          <w:rFonts w:hint="eastAsia" w:ascii="Times New Roman" w:hAnsi="Times New Roman" w:eastAsia="仿宋_GB2312" w:cs="Times New Roman"/>
          <w:highlight w:val="none"/>
          <w:lang w:eastAsia="zh-CN"/>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统计局</w:t>
      </w:r>
      <w:r>
        <w:rPr>
          <w:rFonts w:ascii="仿宋" w:hAnsi="仿宋" w:eastAsia="仿宋" w:cs="Times New Roman"/>
          <w:sz w:val="32"/>
          <w:szCs w:val="32"/>
        </w:rPr>
        <w:t>（含所属单位）上年末固定资产金额为</w:t>
      </w:r>
      <w:r>
        <w:rPr>
          <w:rFonts w:hint="eastAsia" w:ascii="仿宋" w:hAnsi="仿宋" w:eastAsia="仿宋" w:cs="Times New Roman"/>
          <w:sz w:val="32"/>
          <w:szCs w:val="32"/>
          <w:lang w:val="en-US" w:eastAsia="zh-CN"/>
        </w:rPr>
        <w:t>127.22</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w:t>
      </w:r>
      <w:r>
        <w:rPr>
          <w:rFonts w:hint="eastAsia" w:ascii="仿宋" w:hAnsi="仿宋" w:eastAsia="仿宋" w:cs="Times New Roman"/>
          <w:sz w:val="32"/>
          <w:szCs w:val="32"/>
          <w:lang w:val="en-US" w:eastAsia="zh-CN"/>
        </w:rPr>
        <w:t>0.2</w:t>
      </w:r>
      <w:r>
        <w:rPr>
          <w:rFonts w:hint="eastAsia" w:ascii="仿宋" w:hAnsi="仿宋" w:eastAsia="仿宋" w:cs="Times New Roman"/>
          <w:sz w:val="32"/>
          <w:szCs w:val="32"/>
        </w:rPr>
        <w:t>万元，</w:t>
      </w:r>
      <w:r>
        <w:rPr>
          <w:rFonts w:ascii="仿宋" w:hAnsi="仿宋" w:eastAsia="仿宋" w:cs="Times New Roman"/>
          <w:sz w:val="32"/>
          <w:szCs w:val="32"/>
        </w:rPr>
        <w:t>主要为</w:t>
      </w:r>
      <w:r>
        <w:rPr>
          <w:rFonts w:hint="eastAsia" w:ascii="仿宋" w:hAnsi="仿宋" w:eastAsia="仿宋" w:cs="Times New Roman"/>
          <w:sz w:val="32"/>
          <w:szCs w:val="32"/>
          <w:lang w:eastAsia="zh-CN"/>
        </w:rPr>
        <w:t>平板电脑</w:t>
      </w:r>
      <w:r>
        <w:rPr>
          <w:rFonts w:ascii="仿宋" w:hAnsi="仿宋" w:eastAsia="仿宋" w:cs="Times New Roman"/>
          <w:sz w:val="32"/>
          <w:szCs w:val="32"/>
        </w:rPr>
        <w:t>等，</w:t>
      </w:r>
      <w:r>
        <w:rPr>
          <w:rFonts w:hint="eastAsia" w:ascii="仿宋" w:hAnsi="仿宋" w:eastAsia="仿宋" w:cs="Times New Roman"/>
          <w:sz w:val="32"/>
          <w:szCs w:val="32"/>
          <w:lang w:eastAsia="zh-CN"/>
        </w:rPr>
        <w:t>未</w:t>
      </w:r>
      <w:r>
        <w:rPr>
          <w:rFonts w:ascii="仿宋" w:hAnsi="仿宋" w:eastAsia="仿宋" w:cs="Times New Roman"/>
          <w:sz w:val="32"/>
          <w:szCs w:val="32"/>
        </w:rPr>
        <w:t>列入政府采购预算</w:t>
      </w:r>
      <w:r>
        <w:rPr>
          <w:rFonts w:hint="eastAsia" w:ascii="仿宋" w:hAnsi="仿宋" w:eastAsia="仿宋" w:cs="Times New Roman"/>
          <w:sz w:val="32"/>
          <w:szCs w:val="32"/>
        </w:rPr>
        <w:t>，</w:t>
      </w:r>
      <w:r>
        <w:rPr>
          <w:rFonts w:ascii="仿宋" w:hAnsi="仿宋" w:eastAsia="仿宋" w:cs="Times New Roman"/>
          <w:sz w:val="32"/>
          <w:szCs w:val="32"/>
        </w:rPr>
        <w:t>详见</w:t>
      </w:r>
      <w:r>
        <w:rPr>
          <w:rFonts w:hint="eastAsia" w:ascii="仿宋" w:hAnsi="仿宋" w:eastAsia="仿宋" w:cs="Times New Roman"/>
          <w:sz w:val="32"/>
          <w:szCs w:val="32"/>
        </w:rPr>
        <w:t>政府采购</w:t>
      </w:r>
      <w:r>
        <w:rPr>
          <w:rFonts w:ascii="仿宋" w:hAnsi="仿宋" w:eastAsia="仿宋"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eastAsia="zh-CN"/>
              </w:rPr>
              <w:t>统计局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127.22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ind w:firstLine="880" w:firstLineChars="400"/>
              <w:jc w:val="both"/>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ind w:firstLine="880" w:firstLineChars="400"/>
              <w:jc w:val="both"/>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ind w:firstLine="880" w:firstLineChars="400"/>
              <w:jc w:val="both"/>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ind w:firstLine="880" w:firstLineChars="400"/>
              <w:jc w:val="both"/>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104.56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eastAsia="zh-CN"/>
        </w:rPr>
        <w:t>县</w:t>
      </w:r>
      <w:bookmarkStart w:id="2" w:name="_GoBack"/>
      <w:bookmarkEnd w:id="2"/>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footerReference r:id="rId4"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C89EAE"/>
    <w:multiLevelType w:val="singleLevel"/>
    <w:tmpl w:val="A4C89EA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2I1ZWU2NDc2NzBiMDAyZDRhMDVjMWEwN2JjNDRmYWUifQ=="/>
  </w:docVars>
  <w:rsids>
    <w:rsidRoot w:val="00D347CC"/>
    <w:rsid w:val="000050DD"/>
    <w:rsid w:val="000261B2"/>
    <w:rsid w:val="000D16EE"/>
    <w:rsid w:val="001F687F"/>
    <w:rsid w:val="00262092"/>
    <w:rsid w:val="003073D9"/>
    <w:rsid w:val="003909CD"/>
    <w:rsid w:val="00391E11"/>
    <w:rsid w:val="003F3FF8"/>
    <w:rsid w:val="003F44D0"/>
    <w:rsid w:val="003F732C"/>
    <w:rsid w:val="00406D17"/>
    <w:rsid w:val="00457F81"/>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D3546"/>
    <w:rsid w:val="00EE07AC"/>
    <w:rsid w:val="051C21D9"/>
    <w:rsid w:val="06E06368"/>
    <w:rsid w:val="07270946"/>
    <w:rsid w:val="08D02C74"/>
    <w:rsid w:val="0B356079"/>
    <w:rsid w:val="0B6E79AA"/>
    <w:rsid w:val="0DD22420"/>
    <w:rsid w:val="13B055E1"/>
    <w:rsid w:val="14A46B55"/>
    <w:rsid w:val="1BDE0458"/>
    <w:rsid w:val="212B082D"/>
    <w:rsid w:val="23616BFD"/>
    <w:rsid w:val="2397032F"/>
    <w:rsid w:val="24E14259"/>
    <w:rsid w:val="26D02E88"/>
    <w:rsid w:val="37407B23"/>
    <w:rsid w:val="398C44E7"/>
    <w:rsid w:val="3C0A2845"/>
    <w:rsid w:val="422A2665"/>
    <w:rsid w:val="42E56E11"/>
    <w:rsid w:val="43E20130"/>
    <w:rsid w:val="4555128A"/>
    <w:rsid w:val="4D972996"/>
    <w:rsid w:val="4EBE58E0"/>
    <w:rsid w:val="4FDA6748"/>
    <w:rsid w:val="545C08FF"/>
    <w:rsid w:val="57C1363E"/>
    <w:rsid w:val="57D57B4A"/>
    <w:rsid w:val="586C332E"/>
    <w:rsid w:val="5ACE29AE"/>
    <w:rsid w:val="5C5263E2"/>
    <w:rsid w:val="5E49671E"/>
    <w:rsid w:val="5EF53B86"/>
    <w:rsid w:val="64376183"/>
    <w:rsid w:val="643C68F2"/>
    <w:rsid w:val="659860D1"/>
    <w:rsid w:val="6A027F5A"/>
    <w:rsid w:val="6FCC6D94"/>
    <w:rsid w:val="775073D5"/>
    <w:rsid w:val="7A74276E"/>
    <w:rsid w:val="7AA364F9"/>
    <w:rsid w:val="7C397973"/>
    <w:rsid w:val="7D293363"/>
    <w:rsid w:val="7D3B5CA6"/>
    <w:rsid w:val="7D766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jc w:val="left"/>
    </w:pPr>
    <w:rPr>
      <w:rFonts w:ascii="Calibri" w:hAnsi="Calibri"/>
    </w:rPr>
  </w:style>
  <w:style w:type="paragraph" w:styleId="3">
    <w:name w:val="Balloon Text"/>
    <w:basedOn w:val="1"/>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uiPriority w:val="0"/>
    <w:pPr>
      <w:snapToGrid w:val="0"/>
      <w:jc w:val="left"/>
    </w:pPr>
    <w:rPr>
      <w:rFonts w:cs="Times New Roman"/>
      <w:sz w:val="18"/>
      <w:szCs w:val="18"/>
    </w:rPr>
  </w:style>
  <w:style w:type="paragraph" w:styleId="8">
    <w:name w:val="toc 2"/>
    <w:basedOn w:val="1"/>
    <w:next w:val="1"/>
    <w:uiPriority w:val="0"/>
    <w:pPr>
      <w:ind w:left="200" w:leftChars="200"/>
    </w:pPr>
    <w:rPr>
      <w:rFonts w:ascii="Times New Roman" w:hAnsi="Times New Roman" w:cs="Times New Roman"/>
      <w:szCs w:val="24"/>
    </w:rPr>
  </w:style>
  <w:style w:type="character" w:styleId="11">
    <w:name w:val="footnote reference"/>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character" w:customStyle="1" w:styleId="17">
    <w:name w:val="font01"/>
    <w:basedOn w:val="10"/>
    <w:qFormat/>
    <w:uiPriority w:val="0"/>
    <w:rPr>
      <w:rFonts w:hint="default" w:ascii="Calibri" w:hAnsi="Calibri" w:cs="Calibri"/>
      <w:color w:val="000000"/>
      <w:sz w:val="22"/>
      <w:szCs w:val="22"/>
      <w:u w:val="none"/>
    </w:rPr>
  </w:style>
  <w:style w:type="character" w:customStyle="1" w:styleId="18">
    <w:name w:val="font11"/>
    <w:basedOn w:val="10"/>
    <w:qFormat/>
    <w:uiPriority w:val="0"/>
    <w:rPr>
      <w:rFonts w:hint="eastAsia" w:ascii="方正书宋_GBK" w:hAnsi="方正书宋_GBK" w:eastAsia="方正书宋_GBK" w:cs="方正书宋_GBK"/>
      <w:color w:val="000000"/>
      <w:sz w:val="22"/>
      <w:szCs w:val="22"/>
      <w:u w:val="none"/>
    </w:rPr>
  </w:style>
  <w:style w:type="paragraph" w:customStyle="1" w:styleId="19">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21</Pages>
  <Words>9795</Words>
  <Characters>10319</Characters>
  <Lines>23</Lines>
  <Paragraphs>6</Paragraphs>
  <TotalTime>5</TotalTime>
  <ScaleCrop>false</ScaleCrop>
  <LinksUpToDate>false</LinksUpToDate>
  <CharactersWithSpaces>10378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caiwu</cp:lastModifiedBy>
  <cp:lastPrinted>2018-01-30T06:12:00Z</cp:lastPrinted>
  <dcterms:modified xsi:type="dcterms:W3CDTF">2022-07-09T01:29:12Z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DB5C1A8185E24FC6AC00FA2CAD5D46E4</vt:lpwstr>
  </property>
</Properties>
</file>